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98" w:type="dxa"/>
        <w:tblLayout w:type="fixed"/>
        <w:tblLook w:val="04A0" w:firstRow="1" w:lastRow="0" w:firstColumn="1" w:lastColumn="0" w:noHBand="0" w:noVBand="1"/>
      </w:tblPr>
      <w:tblGrid>
        <w:gridCol w:w="2448"/>
        <w:gridCol w:w="3240"/>
        <w:gridCol w:w="4410"/>
        <w:gridCol w:w="4500"/>
      </w:tblGrid>
      <w:tr w:rsidR="00C90D74" w14:paraId="3336C3BD" w14:textId="77777777" w:rsidTr="007B37A0">
        <w:tc>
          <w:tcPr>
            <w:tcW w:w="14598" w:type="dxa"/>
            <w:gridSpan w:val="4"/>
          </w:tcPr>
          <w:p w14:paraId="3336C3B3" w14:textId="77777777" w:rsidR="00C90D74" w:rsidRPr="00112736" w:rsidRDefault="00C90D74" w:rsidP="00112736">
            <w:pPr>
              <w:jc w:val="center"/>
              <w:rPr>
                <w:b/>
                <w:sz w:val="28"/>
                <w:szCs w:val="28"/>
              </w:rPr>
            </w:pPr>
            <w:r w:rsidRPr="00112736">
              <w:rPr>
                <w:b/>
                <w:sz w:val="28"/>
                <w:szCs w:val="28"/>
              </w:rPr>
              <w:t>ROSEMONT COLLEGE</w:t>
            </w:r>
          </w:p>
          <w:p w14:paraId="67DCD9FA" w14:textId="77777777" w:rsidR="006256FC" w:rsidRPr="00112736" w:rsidRDefault="006256FC" w:rsidP="006256FC">
            <w:pPr>
              <w:jc w:val="center"/>
              <w:rPr>
                <w:sz w:val="24"/>
                <w:szCs w:val="24"/>
              </w:rPr>
            </w:pPr>
            <w:r>
              <w:rPr>
                <w:sz w:val="24"/>
                <w:szCs w:val="24"/>
              </w:rPr>
              <w:t>2022-2023 Yearly Discipline Assessment Report</w:t>
            </w:r>
          </w:p>
          <w:p w14:paraId="3336C3B5" w14:textId="77777777" w:rsidR="00C90D74" w:rsidRDefault="00C90D74" w:rsidP="00C90D74">
            <w:r>
              <w:tab/>
            </w:r>
            <w:r>
              <w:tab/>
            </w:r>
            <w:r>
              <w:tab/>
            </w:r>
            <w:r>
              <w:tab/>
            </w:r>
          </w:p>
          <w:p w14:paraId="3336C3B6" w14:textId="0656864E" w:rsidR="00C90D74" w:rsidRPr="00112736" w:rsidRDefault="008B2780" w:rsidP="00C90D74">
            <w:pPr>
              <w:rPr>
                <w:sz w:val="24"/>
                <w:szCs w:val="24"/>
                <w:u w:val="single"/>
              </w:rPr>
            </w:pPr>
            <w:r>
              <w:rPr>
                <w:b/>
                <w:sz w:val="24"/>
                <w:szCs w:val="24"/>
              </w:rPr>
              <w:t>Discipline</w:t>
            </w:r>
            <w:r w:rsidR="00112736" w:rsidRPr="007F34EA">
              <w:rPr>
                <w:b/>
                <w:sz w:val="24"/>
                <w:szCs w:val="24"/>
              </w:rPr>
              <w:t>:</w:t>
            </w:r>
            <w:r w:rsidR="00112736" w:rsidRPr="00112736">
              <w:rPr>
                <w:sz w:val="24"/>
                <w:szCs w:val="24"/>
              </w:rPr>
              <w:t xml:space="preserve">  </w:t>
            </w:r>
            <w:sdt>
              <w:sdtPr>
                <w:rPr>
                  <w:sz w:val="24"/>
                  <w:szCs w:val="24"/>
                </w:rPr>
                <w:id w:val="1738972526"/>
                <w:placeholder>
                  <w:docPart w:val="DB75A21020DB46A7B2FBD5CC5CC78C8E"/>
                </w:placeholder>
                <w:text/>
              </w:sdtPr>
              <w:sdtContent>
                <w:r w:rsidR="00F83118">
                  <w:rPr>
                    <w:sz w:val="24"/>
                    <w:szCs w:val="24"/>
                  </w:rPr>
                  <w:t xml:space="preserve"> </w:t>
                </w:r>
                <w:r w:rsidR="004C12D5">
                  <w:rPr>
                    <w:sz w:val="24"/>
                    <w:szCs w:val="24"/>
                  </w:rPr>
                  <w:t>Mathematics and Physics</w:t>
                </w:r>
              </w:sdtContent>
            </w:sdt>
          </w:p>
          <w:p w14:paraId="3336C3B7" w14:textId="77777777" w:rsidR="007F34EA" w:rsidRDefault="007F34EA" w:rsidP="00C90D74">
            <w:pPr>
              <w:rPr>
                <w:b/>
                <w:sz w:val="24"/>
                <w:szCs w:val="24"/>
              </w:rPr>
            </w:pPr>
          </w:p>
          <w:p w14:paraId="3336C3B8" w14:textId="77777777" w:rsidR="002B06AD" w:rsidRPr="007F34EA" w:rsidRDefault="008B2780" w:rsidP="00C90D74">
            <w:pPr>
              <w:rPr>
                <w:b/>
                <w:sz w:val="24"/>
                <w:szCs w:val="24"/>
              </w:rPr>
            </w:pPr>
            <w:r>
              <w:rPr>
                <w:b/>
                <w:sz w:val="24"/>
                <w:szCs w:val="24"/>
              </w:rPr>
              <w:t>Discipline</w:t>
            </w:r>
            <w:r w:rsidR="007950DF">
              <w:rPr>
                <w:b/>
                <w:sz w:val="24"/>
                <w:szCs w:val="24"/>
              </w:rPr>
              <w:t xml:space="preserve"> Coordinator</w:t>
            </w:r>
            <w:r w:rsidR="00A41809">
              <w:rPr>
                <w:b/>
                <w:sz w:val="24"/>
                <w:szCs w:val="24"/>
              </w:rPr>
              <w:t>:</w:t>
            </w:r>
          </w:p>
          <w:p w14:paraId="3336C3B9" w14:textId="35B53412" w:rsidR="00A82191" w:rsidRDefault="002B06AD" w:rsidP="00C90D74">
            <w:pPr>
              <w:rPr>
                <w:sz w:val="24"/>
                <w:szCs w:val="24"/>
              </w:rPr>
            </w:pPr>
            <w:r>
              <w:rPr>
                <w:sz w:val="24"/>
                <w:szCs w:val="24"/>
              </w:rPr>
              <w:t xml:space="preserve">Name:  </w:t>
            </w:r>
            <w:r w:rsidR="00BF0ABE">
              <w:rPr>
                <w:sz w:val="24"/>
                <w:szCs w:val="24"/>
              </w:rPr>
              <w:t xml:space="preserve">  </w:t>
            </w:r>
            <w:r w:rsidR="004C12D5">
              <w:rPr>
                <w:sz w:val="24"/>
                <w:szCs w:val="24"/>
              </w:rPr>
              <w:t>Dennis Perkinson</w:t>
            </w:r>
            <w:r w:rsidR="00BF0ABE">
              <w:rPr>
                <w:sz w:val="24"/>
                <w:szCs w:val="24"/>
              </w:rPr>
              <w:t xml:space="preserve">                                             </w:t>
            </w:r>
            <w:r w:rsidR="00A82191">
              <w:rPr>
                <w:sz w:val="24"/>
                <w:szCs w:val="24"/>
              </w:rPr>
              <w:t xml:space="preserve">Phone:  </w:t>
            </w:r>
            <w:sdt>
              <w:sdtPr>
                <w:rPr>
                  <w:sz w:val="24"/>
                  <w:szCs w:val="24"/>
                </w:rPr>
                <w:id w:val="-315107781"/>
                <w:placeholder>
                  <w:docPart w:val="64D061B240CF4D7FADF8F0BBDA1E42AA"/>
                </w:placeholder>
                <w:text/>
              </w:sdtPr>
              <w:sdtContent>
                <w:r w:rsidR="004C12D5">
                  <w:rPr>
                    <w:sz w:val="24"/>
                    <w:szCs w:val="24"/>
                  </w:rPr>
                  <w:t>3116</w:t>
                </w:r>
              </w:sdtContent>
            </w:sdt>
            <w:r w:rsidR="00C90D74" w:rsidRPr="00112736">
              <w:rPr>
                <w:sz w:val="24"/>
                <w:szCs w:val="24"/>
              </w:rPr>
              <w:tab/>
            </w:r>
            <w:r w:rsidR="00A82191">
              <w:rPr>
                <w:sz w:val="24"/>
                <w:szCs w:val="24"/>
              </w:rPr>
              <w:t xml:space="preserve">  Email:  </w:t>
            </w:r>
            <w:sdt>
              <w:sdtPr>
                <w:rPr>
                  <w:sz w:val="24"/>
                  <w:szCs w:val="24"/>
                </w:rPr>
                <w:id w:val="3492009"/>
                <w:placeholder>
                  <w:docPart w:val="DFEB026365CB4BD88C5D39B9A3D73565"/>
                </w:placeholder>
                <w:text/>
              </w:sdtPr>
              <w:sdtContent>
                <w:r w:rsidR="004C12D5">
                  <w:rPr>
                    <w:sz w:val="24"/>
                    <w:szCs w:val="24"/>
                  </w:rPr>
                  <w:t>dennis.perkinson@rosemont.edu</w:t>
                </w:r>
              </w:sdtContent>
            </w:sdt>
            <w:r w:rsidR="00EE5D11">
              <w:rPr>
                <w:sz w:val="24"/>
                <w:szCs w:val="24"/>
              </w:rPr>
              <w:t xml:space="preserve"> </w:t>
            </w:r>
          </w:p>
          <w:p w14:paraId="3336C3BA" w14:textId="77777777" w:rsidR="007F34EA" w:rsidRDefault="007F34EA" w:rsidP="00C90D74">
            <w:pPr>
              <w:rPr>
                <w:sz w:val="24"/>
                <w:szCs w:val="24"/>
              </w:rPr>
            </w:pPr>
          </w:p>
          <w:p w14:paraId="3336C3BB" w14:textId="076354A0" w:rsidR="00C90D74" w:rsidRDefault="00C90D74" w:rsidP="00C90D74">
            <w:r w:rsidRPr="007F34EA">
              <w:rPr>
                <w:b/>
                <w:sz w:val="24"/>
                <w:szCs w:val="24"/>
              </w:rPr>
              <w:t>Date Submitted:</w:t>
            </w:r>
            <w:r w:rsidR="00472147">
              <w:rPr>
                <w:sz w:val="24"/>
                <w:szCs w:val="24"/>
              </w:rPr>
              <w:t xml:space="preserve">  </w:t>
            </w:r>
            <w:r w:rsidR="004C12D5">
              <w:rPr>
                <w:sz w:val="24"/>
                <w:szCs w:val="24"/>
              </w:rPr>
              <w:t>4 June 2023</w:t>
            </w:r>
            <w:r>
              <w:tab/>
            </w:r>
            <w:r>
              <w:tab/>
            </w:r>
            <w:r>
              <w:tab/>
            </w:r>
          </w:p>
          <w:p w14:paraId="3336C3BC" w14:textId="77777777" w:rsidR="00C90D74" w:rsidRDefault="00C90D74" w:rsidP="00C90D74">
            <w:r>
              <w:tab/>
            </w:r>
            <w:r>
              <w:tab/>
            </w:r>
            <w:r>
              <w:tab/>
            </w:r>
            <w:r>
              <w:tab/>
            </w:r>
          </w:p>
        </w:tc>
      </w:tr>
      <w:tr w:rsidR="00C90D74" w14:paraId="3336C3C3" w14:textId="77777777" w:rsidTr="007B37A0">
        <w:trPr>
          <w:trHeight w:val="2897"/>
        </w:trPr>
        <w:tc>
          <w:tcPr>
            <w:tcW w:w="14598" w:type="dxa"/>
            <w:gridSpan w:val="4"/>
          </w:tcPr>
          <w:p w14:paraId="3336C3BE" w14:textId="77777777" w:rsidR="00F25BB9" w:rsidRPr="00F25BB9" w:rsidRDefault="00F25BB9" w:rsidP="00F25BB9">
            <w:pPr>
              <w:rPr>
                <w:rFonts w:eastAsiaTheme="minorHAnsi"/>
                <w:i/>
                <w:sz w:val="20"/>
                <w:szCs w:val="20"/>
              </w:rPr>
            </w:pPr>
            <w:r w:rsidRPr="00F25BB9">
              <w:rPr>
                <w:rFonts w:eastAsiaTheme="minorHAnsi"/>
                <w:b/>
                <w:sz w:val="20"/>
                <w:szCs w:val="20"/>
                <w:u w:val="single"/>
              </w:rPr>
              <w:t>Mission Statement 2016</w:t>
            </w:r>
            <w:r>
              <w:rPr>
                <w:rFonts w:eastAsiaTheme="minorHAnsi"/>
                <w:sz w:val="20"/>
                <w:szCs w:val="20"/>
              </w:rPr>
              <w:t xml:space="preserve">:  </w:t>
            </w:r>
            <w:r w:rsidRPr="00F25BB9">
              <w:rPr>
                <w:rFonts w:eastAsiaTheme="minorHAnsi"/>
                <w:i/>
                <w:sz w:val="20"/>
                <w:szCs w:val="20"/>
              </w:rPr>
              <w:t>Rosemont College is a community of lifelong learners dedicated to academic excellence and fostering joy in the pursuit of knowledge. Rosemont College seeks to develop in all members of the community open and critical minds, the ability to make reasoned moral decisions, and a sense of responsibility to serve others in our global society.</w:t>
            </w:r>
          </w:p>
          <w:p w14:paraId="3336C3BF" w14:textId="77777777" w:rsidR="00F25BB9" w:rsidRPr="00F25BB9" w:rsidRDefault="00F25BB9" w:rsidP="00F25BB9">
            <w:pPr>
              <w:rPr>
                <w:rFonts w:eastAsiaTheme="minorHAnsi"/>
                <w:i/>
                <w:sz w:val="20"/>
                <w:szCs w:val="20"/>
              </w:rPr>
            </w:pPr>
            <w:r w:rsidRPr="00F25BB9">
              <w:rPr>
                <w:rFonts w:eastAsiaTheme="minorHAnsi"/>
                <w:i/>
                <w:sz w:val="20"/>
                <w:szCs w:val="20"/>
              </w:rPr>
              <w:t>Rooted in Catholicism, Rosemont welcomes all faiths and is guided by the principles of Cornelia Connelly and the Society of the holy Child Jesus to meet the needs of the time.</w:t>
            </w:r>
            <w:r>
              <w:rPr>
                <w:rFonts w:eastAsiaTheme="minorHAnsi"/>
                <w:i/>
                <w:sz w:val="20"/>
                <w:szCs w:val="20"/>
              </w:rPr>
              <w:t xml:space="preserve"> </w:t>
            </w:r>
            <w:r w:rsidRPr="00F25BB9">
              <w:rPr>
                <w:rFonts w:eastAsiaTheme="minorHAnsi"/>
                <w:i/>
                <w:sz w:val="20"/>
                <w:szCs w:val="20"/>
              </w:rPr>
              <w:t>Rosemont College values:  Trust in and reverence for the dignity of each person; Diversity with a commitment to building an international community; Persistence and courage in promoting justice with compassion; Care for the Earth as our common home.</w:t>
            </w:r>
          </w:p>
          <w:p w14:paraId="3336C3C0" w14:textId="77777777" w:rsidR="00C90D74" w:rsidRPr="008B2780" w:rsidRDefault="00F25BB9" w:rsidP="00C90D74">
            <w:pPr>
              <w:rPr>
                <w:i/>
              </w:rPr>
            </w:pPr>
            <w:r>
              <w:rPr>
                <w:i/>
              </w:rPr>
              <w:t>__________________________________________________________________________________________________________________________________</w:t>
            </w:r>
          </w:p>
          <w:p w14:paraId="3336C3C1" w14:textId="77777777" w:rsidR="008B2780" w:rsidRPr="00B061D4" w:rsidRDefault="00B061D4" w:rsidP="00C90D74">
            <w:pPr>
              <w:rPr>
                <w:b/>
                <w:sz w:val="28"/>
                <w:szCs w:val="28"/>
              </w:rPr>
            </w:pPr>
            <w:r w:rsidRPr="00B061D4">
              <w:rPr>
                <w:b/>
                <w:sz w:val="28"/>
                <w:szCs w:val="28"/>
              </w:rPr>
              <w:t>PART A:</w:t>
            </w:r>
          </w:p>
          <w:p w14:paraId="3336C3C2" w14:textId="6B85AD52" w:rsidR="008B2780" w:rsidRDefault="008B2780" w:rsidP="0056352B">
            <w:r w:rsidRPr="00B061D4">
              <w:rPr>
                <w:u w:val="single"/>
              </w:rPr>
              <w:t>INSTRUCTIONS</w:t>
            </w:r>
            <w:r w:rsidRPr="008B2780">
              <w:rPr>
                <w:b/>
              </w:rPr>
              <w:t>:</w:t>
            </w:r>
            <w:r>
              <w:t xml:space="preserve">  Save this form as a Word file.     Please fill in the fields </w:t>
            </w:r>
            <w:r w:rsidR="00731A47">
              <w:t>below; they</w:t>
            </w:r>
            <w:r>
              <w:t xml:space="preserve"> will expand as you type.   You may separate out majors and non-majors in your descriptions of outcomes.   Then </w:t>
            </w:r>
            <w:r w:rsidR="0056352B">
              <w:t>fill in Part B</w:t>
            </w:r>
            <w:r>
              <w:t>.    Return to the Director of Strategic Planning and Assessment by June 30</w:t>
            </w:r>
            <w:r w:rsidRPr="008B2780">
              <w:rPr>
                <w:vertAlign w:val="superscript"/>
              </w:rPr>
              <w:t>th</w:t>
            </w:r>
            <w:r>
              <w:t xml:space="preserve">.   </w:t>
            </w:r>
          </w:p>
        </w:tc>
      </w:tr>
      <w:tr w:rsidR="007950DF" w14:paraId="3336C3C8" w14:textId="77777777" w:rsidTr="007B37A0">
        <w:tc>
          <w:tcPr>
            <w:tcW w:w="2448" w:type="dxa"/>
            <w:vAlign w:val="center"/>
          </w:tcPr>
          <w:p w14:paraId="3336C3C4" w14:textId="514D08F0" w:rsidR="007950DF" w:rsidRPr="00112736" w:rsidRDefault="009541D2" w:rsidP="008B2780">
            <w:pPr>
              <w:jc w:val="center"/>
              <w:rPr>
                <w:b/>
              </w:rPr>
            </w:pPr>
            <w:r>
              <w:rPr>
                <w:b/>
              </w:rPr>
              <w:t>Student Learning Objectives/Outcomes</w:t>
            </w:r>
          </w:p>
        </w:tc>
        <w:tc>
          <w:tcPr>
            <w:tcW w:w="3240" w:type="dxa"/>
            <w:vAlign w:val="center"/>
          </w:tcPr>
          <w:p w14:paraId="3336C3C5" w14:textId="71654277" w:rsidR="007950DF" w:rsidRPr="00112736" w:rsidRDefault="007950DF" w:rsidP="00112736">
            <w:pPr>
              <w:jc w:val="center"/>
              <w:rPr>
                <w:b/>
              </w:rPr>
            </w:pPr>
            <w:r>
              <w:rPr>
                <w:b/>
              </w:rPr>
              <w:t>Courses taught during year</w:t>
            </w:r>
            <w:r w:rsidR="00BF50C9">
              <w:rPr>
                <w:b/>
              </w:rPr>
              <w:t xml:space="preserve"> </w:t>
            </w:r>
            <w:r>
              <w:rPr>
                <w:b/>
              </w:rPr>
              <w:t>assessing</w:t>
            </w:r>
            <w:r w:rsidR="00BF50C9">
              <w:rPr>
                <w:b/>
              </w:rPr>
              <w:t xml:space="preserve"> the objective/outcome</w:t>
            </w:r>
          </w:p>
        </w:tc>
        <w:tc>
          <w:tcPr>
            <w:tcW w:w="4410" w:type="dxa"/>
            <w:vAlign w:val="center"/>
          </w:tcPr>
          <w:p w14:paraId="3336C3C6" w14:textId="33FFB38E" w:rsidR="007950DF" w:rsidRPr="00112736" w:rsidRDefault="00DE17F5" w:rsidP="007950DF">
            <w:pPr>
              <w:jc w:val="center"/>
              <w:rPr>
                <w:b/>
              </w:rPr>
            </w:pPr>
            <w:r>
              <w:rPr>
                <w:b/>
              </w:rPr>
              <w:t xml:space="preserve">Results of Assessment </w:t>
            </w:r>
            <w:r w:rsidR="00DC7FBA">
              <w:rPr>
                <w:b/>
              </w:rPr>
              <w:t>(</w:t>
            </w:r>
            <w:r w:rsidR="00BA558A">
              <w:rPr>
                <w:b/>
              </w:rPr>
              <w:t>include</w:t>
            </w:r>
            <w:r w:rsidR="00DC7FBA">
              <w:rPr>
                <w:b/>
              </w:rPr>
              <w:t xml:space="preserve"> majors and non-majors in the classes)</w:t>
            </w:r>
          </w:p>
        </w:tc>
        <w:tc>
          <w:tcPr>
            <w:tcW w:w="4500" w:type="dxa"/>
            <w:vAlign w:val="center"/>
          </w:tcPr>
          <w:p w14:paraId="3336C3C7" w14:textId="77777777" w:rsidR="007950DF" w:rsidRPr="00112736" w:rsidRDefault="007950DF" w:rsidP="007950DF">
            <w:pPr>
              <w:jc w:val="center"/>
              <w:rPr>
                <w:b/>
              </w:rPr>
            </w:pPr>
            <w:r w:rsidRPr="00112736">
              <w:rPr>
                <w:b/>
              </w:rPr>
              <w:t xml:space="preserve">Planned </w:t>
            </w:r>
            <w:r>
              <w:rPr>
                <w:b/>
              </w:rPr>
              <w:t>Improvements Based on Assessment (List here; elaborate in Part B below)</w:t>
            </w:r>
          </w:p>
        </w:tc>
      </w:tr>
      <w:tr w:rsidR="007950DF" w14:paraId="3336C3CD" w14:textId="77777777" w:rsidTr="007B37A0">
        <w:trPr>
          <w:trHeight w:val="1440"/>
        </w:trPr>
        <w:tc>
          <w:tcPr>
            <w:tcW w:w="2448" w:type="dxa"/>
          </w:tcPr>
          <w:p w14:paraId="26E3EAD5" w14:textId="77777777" w:rsidR="004C12D5" w:rsidRDefault="004C12D5" w:rsidP="004C12D5">
            <w:pPr>
              <w:rPr>
                <w:b/>
                <w:sz w:val="24"/>
                <w:szCs w:val="24"/>
              </w:rPr>
            </w:pPr>
            <w:r>
              <w:rPr>
                <w:b/>
                <w:sz w:val="24"/>
                <w:szCs w:val="24"/>
              </w:rPr>
              <w:t>Objective #1</w:t>
            </w:r>
            <w:r w:rsidRPr="007F34EA">
              <w:rPr>
                <w:b/>
                <w:sz w:val="24"/>
                <w:szCs w:val="24"/>
              </w:rPr>
              <w:t>:</w:t>
            </w:r>
          </w:p>
          <w:p w14:paraId="3336C3C9" w14:textId="10B4BA55" w:rsidR="00D80FB2" w:rsidRPr="00C45783" w:rsidRDefault="004C12D5" w:rsidP="004C12D5">
            <w:r w:rsidRPr="00112736">
              <w:rPr>
                <w:sz w:val="24"/>
                <w:szCs w:val="24"/>
              </w:rPr>
              <w:t xml:space="preserve">  </w:t>
            </w:r>
            <w:sdt>
              <w:sdtPr>
                <w:rPr>
                  <w:color w:val="000000"/>
                </w:rPr>
                <w:id w:val="1994906374"/>
                <w:placeholder>
                  <w:docPart w:val="AEF9AF8D4C124C398AF2E6E36B5AFC6C"/>
                </w:placeholder>
                <w:text/>
              </w:sdtPr>
              <w:sdtContent>
                <w:r w:rsidRPr="00CF3714">
                  <w:rPr>
                    <w:color w:val="000000"/>
                  </w:rPr>
                  <w:t>Students will accurately explain information presented in mathematical form.</w:t>
                </w:r>
              </w:sdtContent>
            </w:sdt>
          </w:p>
        </w:tc>
        <w:tc>
          <w:tcPr>
            <w:tcW w:w="3240" w:type="dxa"/>
          </w:tcPr>
          <w:p w14:paraId="7ACDF268" w14:textId="77777777" w:rsidR="00F2371F" w:rsidRDefault="00F2371F" w:rsidP="00F2371F">
            <w:r>
              <w:t>MAT 120 – Calculus I</w:t>
            </w:r>
          </w:p>
          <w:p w14:paraId="49D96755" w14:textId="77777777" w:rsidR="00F2371F" w:rsidRDefault="00F2371F" w:rsidP="00F2371F">
            <w:r>
              <w:t>MAT 225 – Foundations of Advanced Mathematics</w:t>
            </w:r>
          </w:p>
          <w:p w14:paraId="607EACA0" w14:textId="77777777" w:rsidR="00F2371F" w:rsidRDefault="00F2371F" w:rsidP="00C45783">
            <w:r>
              <w:t>M</w:t>
            </w:r>
            <w:r w:rsidR="004C12D5">
              <w:t>AT 255</w:t>
            </w:r>
            <w:r>
              <w:t xml:space="preserve"> – Statistics I</w:t>
            </w:r>
          </w:p>
          <w:p w14:paraId="30115173" w14:textId="77777777" w:rsidR="00F2371F" w:rsidRDefault="004C12D5" w:rsidP="00C45783">
            <w:r>
              <w:t>MAT 256</w:t>
            </w:r>
            <w:r w:rsidR="00F2371F">
              <w:t xml:space="preserve"> – Statistics II</w:t>
            </w:r>
          </w:p>
          <w:p w14:paraId="57B6318F" w14:textId="77777777" w:rsidR="00F2371F" w:rsidRDefault="004C12D5" w:rsidP="00C45783">
            <w:r>
              <w:t>PHY 100</w:t>
            </w:r>
            <w:r w:rsidR="00F2371F">
              <w:t xml:space="preserve"> – Physics I</w:t>
            </w:r>
          </w:p>
          <w:p w14:paraId="3336C3CA" w14:textId="21A969C3" w:rsidR="00724EDC" w:rsidRDefault="004C12D5" w:rsidP="00C45783">
            <w:r>
              <w:t>PHY 101</w:t>
            </w:r>
            <w:r w:rsidR="00F2371F">
              <w:t xml:space="preserve"> – Physics II</w:t>
            </w:r>
          </w:p>
        </w:tc>
        <w:tc>
          <w:tcPr>
            <w:tcW w:w="4410" w:type="dxa"/>
          </w:tcPr>
          <w:p w14:paraId="578C44F4" w14:textId="5A82F320" w:rsidR="007B37A0" w:rsidRDefault="007B37A0" w:rsidP="00F63077">
            <w:pPr>
              <w:pStyle w:val="ListParagraph"/>
              <w:framePr w:wrap="around"/>
            </w:pPr>
            <w:r>
              <w:t xml:space="preserve">The lack of basic arithmetic and algebraic skills continues to hinder student learning </w:t>
            </w:r>
            <w:r w:rsidR="00B274C2">
              <w:t>in all math courses</w:t>
            </w:r>
          </w:p>
          <w:p w14:paraId="3336C3CB" w14:textId="3B3E2D17" w:rsidR="00B274C2" w:rsidRDefault="00B274C2" w:rsidP="00F63077">
            <w:pPr>
              <w:pStyle w:val="ListParagraph"/>
              <w:framePr w:wrap="around"/>
            </w:pPr>
            <w:r>
              <w:t>Some students taking the physics courses have issues working with trigonometric functions, even though a course covering trigonometry is a prerequisite for physics</w:t>
            </w:r>
          </w:p>
        </w:tc>
        <w:tc>
          <w:tcPr>
            <w:tcW w:w="4500" w:type="dxa"/>
          </w:tcPr>
          <w:p w14:paraId="175E9A66" w14:textId="77777777" w:rsidR="007B37A0" w:rsidRDefault="007B37A0" w:rsidP="00F63077">
            <w:pPr>
              <w:pStyle w:val="ListParagraph"/>
              <w:framePr w:wrap="around"/>
            </w:pPr>
            <w:r>
              <w:t>Continue implementing active-learning and “visual mathematics” approaches to instruction in all math courses</w:t>
            </w:r>
          </w:p>
          <w:p w14:paraId="3336C3CC" w14:textId="03DC8DE6" w:rsidR="00F15673" w:rsidRDefault="007B37A0" w:rsidP="00F63077">
            <w:pPr>
              <w:pStyle w:val="ListParagraph"/>
              <w:framePr w:wrap="around"/>
            </w:pPr>
            <w:r>
              <w:t xml:space="preserve">Continue the implementation </w:t>
            </w:r>
            <w:r w:rsidR="00731A47">
              <w:t>of Inquiry</w:t>
            </w:r>
            <w:r>
              <w:t>-Based Learning (IBL) techniques where possible</w:t>
            </w:r>
          </w:p>
        </w:tc>
      </w:tr>
      <w:tr w:rsidR="007950DF" w14:paraId="3336C3D2" w14:textId="77777777" w:rsidTr="007B37A0">
        <w:trPr>
          <w:trHeight w:val="1440"/>
        </w:trPr>
        <w:tc>
          <w:tcPr>
            <w:tcW w:w="2448" w:type="dxa"/>
          </w:tcPr>
          <w:p w14:paraId="0F2438F7" w14:textId="77777777" w:rsidR="004C12D5" w:rsidRDefault="004C12D5" w:rsidP="004C12D5">
            <w:pPr>
              <w:rPr>
                <w:b/>
                <w:sz w:val="24"/>
                <w:szCs w:val="24"/>
              </w:rPr>
            </w:pPr>
            <w:r>
              <w:rPr>
                <w:b/>
                <w:sz w:val="24"/>
                <w:szCs w:val="24"/>
              </w:rPr>
              <w:t>Objective #2</w:t>
            </w:r>
            <w:r w:rsidRPr="007F34EA">
              <w:rPr>
                <w:b/>
                <w:sz w:val="24"/>
                <w:szCs w:val="24"/>
              </w:rPr>
              <w:t>:</w:t>
            </w:r>
          </w:p>
          <w:p w14:paraId="3336C3CE" w14:textId="7BAA1772" w:rsidR="00D80FB2" w:rsidRDefault="004C12D5" w:rsidP="004C12D5">
            <w:r w:rsidRPr="00112736">
              <w:rPr>
                <w:sz w:val="24"/>
                <w:szCs w:val="24"/>
              </w:rPr>
              <w:t xml:space="preserve">  </w:t>
            </w:r>
            <w:sdt>
              <w:sdtPr>
                <w:rPr>
                  <w:color w:val="000000"/>
                </w:rPr>
                <w:id w:val="-417949021"/>
                <w:placeholder>
                  <w:docPart w:val="157628AF6B884D2FA61FA75E5B819D48"/>
                </w:placeholder>
                <w:text/>
              </w:sdtPr>
              <w:sdtContent>
                <w:r w:rsidRPr="00CF3714">
                  <w:rPr>
                    <w:color w:val="000000"/>
                  </w:rPr>
                  <w:t>Students will make accurate inferences based on information presented in mathematical form.</w:t>
                </w:r>
              </w:sdtContent>
            </w:sdt>
          </w:p>
        </w:tc>
        <w:tc>
          <w:tcPr>
            <w:tcW w:w="3240" w:type="dxa"/>
          </w:tcPr>
          <w:p w14:paraId="58FA770A" w14:textId="75B37C39" w:rsidR="00F2371F" w:rsidRDefault="00F2371F" w:rsidP="00F2371F">
            <w:r>
              <w:t>MAT 115 – College Algebra</w:t>
            </w:r>
          </w:p>
          <w:p w14:paraId="5837EFE5" w14:textId="78D412A9" w:rsidR="00F2371F" w:rsidRDefault="00F2371F" w:rsidP="00F2371F">
            <w:r>
              <w:t>MAT 116 – Pre-Calculus</w:t>
            </w:r>
          </w:p>
          <w:p w14:paraId="74FB0226" w14:textId="77777777" w:rsidR="00F2371F" w:rsidRDefault="00F2371F" w:rsidP="00F2371F">
            <w:r>
              <w:t>MAT 225 – Foundations of Advanced Mathematics</w:t>
            </w:r>
          </w:p>
          <w:p w14:paraId="5C8E6377" w14:textId="77777777" w:rsidR="00F2371F" w:rsidRDefault="00F2371F" w:rsidP="00F2371F">
            <w:r>
              <w:t>MAT 255 – Statistics I</w:t>
            </w:r>
          </w:p>
          <w:p w14:paraId="5D8AA937" w14:textId="77777777" w:rsidR="00F2371F" w:rsidRDefault="00F2371F" w:rsidP="00F2371F">
            <w:r>
              <w:t>MAT 256 – Statistics II</w:t>
            </w:r>
          </w:p>
          <w:p w14:paraId="2B8A8CC8" w14:textId="77777777" w:rsidR="00F2371F" w:rsidRDefault="00F2371F" w:rsidP="00F2371F">
            <w:r>
              <w:t>PHY 100 – Physics I</w:t>
            </w:r>
          </w:p>
          <w:p w14:paraId="0BC9EC3F" w14:textId="4C60A7C9" w:rsidR="00F2371F" w:rsidRDefault="00F2371F" w:rsidP="00F2371F">
            <w:r>
              <w:t>PHY 101 – Physics II</w:t>
            </w:r>
          </w:p>
          <w:p w14:paraId="3336C3CF" w14:textId="7ADCE3F6" w:rsidR="00C45783" w:rsidRDefault="00C45783"/>
        </w:tc>
        <w:tc>
          <w:tcPr>
            <w:tcW w:w="4410" w:type="dxa"/>
          </w:tcPr>
          <w:p w14:paraId="7AB44C5E" w14:textId="441883F1" w:rsidR="00664DA0" w:rsidRDefault="00B274C2" w:rsidP="00F63077">
            <w:pPr>
              <w:pStyle w:val="ListParagraph"/>
              <w:framePr w:wrap="around"/>
            </w:pPr>
            <w:r>
              <w:t>The lack of basic arithmetic and algebraic skills continues to hinder student learning all too often in courses taken mainly by the general student population – MAT 112, 115, 116, 120</w:t>
            </w:r>
            <w:r w:rsidR="00664DA0">
              <w:t>Most Rosemont students taking the early (100-level) math courses continue to be ill prepared for performing accurate, detailed, and informed inferences</w:t>
            </w:r>
          </w:p>
          <w:p w14:paraId="56C4EC6E" w14:textId="77777777" w:rsidR="00664DA0" w:rsidRDefault="00664DA0" w:rsidP="00F63077">
            <w:pPr>
              <w:pStyle w:val="ListParagraph"/>
              <w:framePr w:wrap="around"/>
            </w:pPr>
            <w:r>
              <w:lastRenderedPageBreak/>
              <w:t>Majors taking “theoretical” math courses (MAT 225) continue to have significant difficulty grasping the concepts of pure mathematics</w:t>
            </w:r>
          </w:p>
          <w:p w14:paraId="3336C3D0" w14:textId="5BAF0E34" w:rsidR="00ED019D" w:rsidRDefault="00664DA0" w:rsidP="00F63077">
            <w:pPr>
              <w:pStyle w:val="ListParagraph"/>
              <w:framePr w:wrap="around"/>
            </w:pPr>
            <w:r>
              <w:t>Some students taking the physics courses have issues working with trigonometric functions, even though a course covering trigonometry is a prerequisite for physics</w:t>
            </w:r>
          </w:p>
        </w:tc>
        <w:tc>
          <w:tcPr>
            <w:tcW w:w="4500" w:type="dxa"/>
          </w:tcPr>
          <w:p w14:paraId="00D9BF5B" w14:textId="77777777" w:rsidR="00664DA0" w:rsidRDefault="00664DA0" w:rsidP="00F63077">
            <w:pPr>
              <w:pStyle w:val="ListParagraph"/>
              <w:framePr w:wrap="around"/>
            </w:pPr>
            <w:r>
              <w:lastRenderedPageBreak/>
              <w:t>Continue implementing active-learning and “visual mathematics” approaches to instruction in all math courses</w:t>
            </w:r>
          </w:p>
          <w:p w14:paraId="3336C3D1" w14:textId="0AB3DA22" w:rsidR="00C45783" w:rsidRDefault="00664DA0" w:rsidP="00F63077">
            <w:pPr>
              <w:pStyle w:val="ListParagraph"/>
              <w:framePr w:wrap="around"/>
            </w:pPr>
            <w:r>
              <w:t xml:space="preserve">Continue the implementation </w:t>
            </w:r>
            <w:r w:rsidR="00731A47">
              <w:t>of Inquiry</w:t>
            </w:r>
            <w:r>
              <w:t>-Based Learning (IBL) techniques where possible</w:t>
            </w:r>
          </w:p>
        </w:tc>
      </w:tr>
      <w:tr w:rsidR="00664DA0" w14:paraId="3336C3D7" w14:textId="77777777" w:rsidTr="007B37A0">
        <w:trPr>
          <w:trHeight w:val="1440"/>
        </w:trPr>
        <w:tc>
          <w:tcPr>
            <w:tcW w:w="2448" w:type="dxa"/>
          </w:tcPr>
          <w:p w14:paraId="2B4EA45E" w14:textId="373ED419" w:rsidR="00664DA0" w:rsidRDefault="00664DA0" w:rsidP="00664DA0">
            <w:pPr>
              <w:rPr>
                <w:b/>
                <w:sz w:val="24"/>
                <w:szCs w:val="24"/>
              </w:rPr>
            </w:pPr>
            <w:r>
              <w:rPr>
                <w:b/>
                <w:sz w:val="24"/>
                <w:szCs w:val="24"/>
              </w:rPr>
              <w:t>Objective #3</w:t>
            </w:r>
            <w:r w:rsidRPr="007F34EA">
              <w:rPr>
                <w:b/>
                <w:sz w:val="24"/>
                <w:szCs w:val="24"/>
              </w:rPr>
              <w:t>:</w:t>
            </w:r>
          </w:p>
          <w:p w14:paraId="3336C3D3" w14:textId="03047215" w:rsidR="00664DA0" w:rsidRDefault="00664DA0" w:rsidP="00664DA0">
            <w:r w:rsidRPr="00112736">
              <w:rPr>
                <w:sz w:val="24"/>
                <w:szCs w:val="24"/>
              </w:rPr>
              <w:t xml:space="preserve">  </w:t>
            </w:r>
            <w:sdt>
              <w:sdtPr>
                <w:rPr>
                  <w:color w:val="000000"/>
                </w:rPr>
                <w:id w:val="-1693756222"/>
                <w:placeholder>
                  <w:docPart w:val="1A28BCB0D6184300ADD3D804DC296229"/>
                </w:placeholder>
                <w:text/>
              </w:sdtPr>
              <w:sdtContent>
                <w:r w:rsidRPr="00944851">
                  <w:rPr>
                    <w:color w:val="000000"/>
                  </w:rPr>
                  <w:t>Students will be able to skillfully convert relevant information into an insightful mathematical portrayal in a way that contributes to a deeper understanding of the relevant material.</w:t>
                </w:r>
              </w:sdtContent>
            </w:sdt>
          </w:p>
        </w:tc>
        <w:tc>
          <w:tcPr>
            <w:tcW w:w="3240" w:type="dxa"/>
          </w:tcPr>
          <w:p w14:paraId="0A37D575" w14:textId="141E5019" w:rsidR="00664DA0" w:rsidRDefault="00664DA0" w:rsidP="00664DA0">
            <w:r>
              <w:t>MAT 112 – Introductory Algebra</w:t>
            </w:r>
          </w:p>
          <w:p w14:paraId="2F1CE45A" w14:textId="7600728F" w:rsidR="00664DA0" w:rsidRDefault="00664DA0" w:rsidP="00664DA0">
            <w:r>
              <w:t>MAT 115 – College Algebra</w:t>
            </w:r>
          </w:p>
          <w:p w14:paraId="02710DC4" w14:textId="77777777" w:rsidR="00664DA0" w:rsidRDefault="00664DA0" w:rsidP="00664DA0">
            <w:r>
              <w:t>MAT 116 – Pre-Calculus</w:t>
            </w:r>
          </w:p>
          <w:p w14:paraId="40B3194A" w14:textId="1CA733C3" w:rsidR="00664DA0" w:rsidRDefault="00664DA0" w:rsidP="00664DA0">
            <w:r>
              <w:t>MAT 200 – Number Theory</w:t>
            </w:r>
          </w:p>
          <w:p w14:paraId="5410E16A" w14:textId="55797843" w:rsidR="00664DA0" w:rsidRDefault="00664DA0" w:rsidP="00664DA0">
            <w:r>
              <w:t>MAT 225 – Foundations of Advanced Mathematics</w:t>
            </w:r>
          </w:p>
          <w:p w14:paraId="26A49226" w14:textId="77777777" w:rsidR="00664DA0" w:rsidRDefault="00664DA0" w:rsidP="00664DA0">
            <w:r>
              <w:t>PHY 100 – Physics I</w:t>
            </w:r>
          </w:p>
          <w:p w14:paraId="12879233" w14:textId="15137191" w:rsidR="00664DA0" w:rsidRDefault="00664DA0" w:rsidP="00664DA0">
            <w:r>
              <w:t>PHY 101 – Physics II</w:t>
            </w:r>
          </w:p>
          <w:p w14:paraId="3336C3D4" w14:textId="30077390" w:rsidR="00664DA0" w:rsidRDefault="00664DA0" w:rsidP="00664DA0"/>
        </w:tc>
        <w:tc>
          <w:tcPr>
            <w:tcW w:w="4410" w:type="dxa"/>
          </w:tcPr>
          <w:p w14:paraId="2436F49C" w14:textId="4D301BD9" w:rsidR="00664DA0" w:rsidRDefault="00664DA0" w:rsidP="00664DA0">
            <w:r>
              <w:t>The shortcomings in Objectives #1 and #2 concerning explaining and making inferences generally carry over to student abilities to perform competent analysis:</w:t>
            </w:r>
          </w:p>
          <w:p w14:paraId="6B52DC7C" w14:textId="77777777" w:rsidR="00664DA0" w:rsidRPr="00F63077" w:rsidRDefault="00664DA0" w:rsidP="00F63077">
            <w:pPr>
              <w:pStyle w:val="ListParagraph"/>
              <w:framePr w:wrap="around"/>
            </w:pPr>
            <w:r w:rsidRPr="00F63077">
              <w:t>Most Rosemont students taking the early (100-level) math courses continue to be ill prepared for performing accurate, detailed, and informed inferences</w:t>
            </w:r>
          </w:p>
          <w:p w14:paraId="3336C3D5" w14:textId="1D5E61BE" w:rsidR="00664DA0" w:rsidRDefault="00664DA0" w:rsidP="00500E19">
            <w:pPr>
              <w:pStyle w:val="ListParagraph"/>
              <w:framePr w:wrap="around"/>
            </w:pPr>
            <w:r w:rsidRPr="00F63077">
              <w:t>The lack of basic arithmetic and algebraic skills hinder student learning all too often in courses taken mainly by the general student population – MAT 112, 115, 116, 120</w:t>
            </w:r>
          </w:p>
        </w:tc>
        <w:tc>
          <w:tcPr>
            <w:tcW w:w="4500" w:type="dxa"/>
          </w:tcPr>
          <w:p w14:paraId="0E5A79EB" w14:textId="5415F4CD" w:rsidR="00664DA0" w:rsidRPr="00F63077" w:rsidRDefault="00664DA0" w:rsidP="00F63077">
            <w:pPr>
              <w:pStyle w:val="ListParagraph"/>
              <w:framePr w:wrap="around"/>
            </w:pPr>
            <w:r w:rsidRPr="00F63077">
              <w:t xml:space="preserve">Continue attempts to gain better insights into student weaknesses, particularly in the early courses taken by the general student population, by performing beginning of course and end of course assessments in order to identify specific areas for review on how they are taught </w:t>
            </w:r>
          </w:p>
          <w:p w14:paraId="4003D80E" w14:textId="77777777" w:rsidR="00664DA0" w:rsidRPr="00F63077" w:rsidRDefault="00664DA0" w:rsidP="00F63077">
            <w:pPr>
              <w:pStyle w:val="ListParagraph"/>
              <w:framePr w:wrap="around"/>
            </w:pPr>
            <w:r w:rsidRPr="00F63077">
              <w:t>Continue the implement Inquiry-Based Learning (IBL) techniques where possible</w:t>
            </w:r>
          </w:p>
          <w:p w14:paraId="6E8466F4" w14:textId="77777777" w:rsidR="00664DA0" w:rsidRPr="00F63077" w:rsidRDefault="00664DA0" w:rsidP="00F63077">
            <w:pPr>
              <w:pStyle w:val="ListParagraph"/>
              <w:framePr w:wrap="around"/>
            </w:pPr>
            <w:r w:rsidRPr="00F63077">
              <w:t>Expand the use of teaching “visual mathematics” where possible and appropriate</w:t>
            </w:r>
          </w:p>
          <w:p w14:paraId="3336C3D6" w14:textId="77777777" w:rsidR="00664DA0" w:rsidRDefault="00664DA0" w:rsidP="00664DA0"/>
        </w:tc>
      </w:tr>
      <w:tr w:rsidR="004C12D5" w14:paraId="7F111CAF" w14:textId="77777777" w:rsidTr="007B37A0">
        <w:trPr>
          <w:trHeight w:val="1440"/>
        </w:trPr>
        <w:tc>
          <w:tcPr>
            <w:tcW w:w="2448" w:type="dxa"/>
          </w:tcPr>
          <w:p w14:paraId="30F09E64" w14:textId="0A7D77DF" w:rsidR="004C12D5" w:rsidRDefault="004C12D5" w:rsidP="004C12D5">
            <w:pPr>
              <w:rPr>
                <w:b/>
                <w:sz w:val="24"/>
                <w:szCs w:val="24"/>
              </w:rPr>
            </w:pPr>
            <w:r>
              <w:rPr>
                <w:b/>
                <w:sz w:val="24"/>
                <w:szCs w:val="24"/>
              </w:rPr>
              <w:t>Objective #4</w:t>
            </w:r>
            <w:r w:rsidRPr="007F34EA">
              <w:rPr>
                <w:b/>
                <w:sz w:val="24"/>
                <w:szCs w:val="24"/>
              </w:rPr>
              <w:t>:</w:t>
            </w:r>
          </w:p>
          <w:p w14:paraId="1F0A8EA3" w14:textId="19F9301B" w:rsidR="004C12D5" w:rsidRDefault="004C12D5" w:rsidP="004C12D5">
            <w:pPr>
              <w:rPr>
                <w:b/>
                <w:sz w:val="24"/>
                <w:szCs w:val="24"/>
              </w:rPr>
            </w:pPr>
            <w:r w:rsidRPr="00112736">
              <w:rPr>
                <w:sz w:val="24"/>
                <w:szCs w:val="24"/>
              </w:rPr>
              <w:t xml:space="preserve">  </w:t>
            </w:r>
            <w:sdt>
              <w:sdtPr>
                <w:rPr>
                  <w:color w:val="000000"/>
                </w:rPr>
                <w:id w:val="696500990"/>
                <w:placeholder>
                  <w:docPart w:val="17C6FFF61167439DA3B6D552D7C55524"/>
                </w:placeholder>
                <w:text/>
              </w:sdtPr>
              <w:sdtContent>
                <w:r w:rsidRPr="00F35EF5">
                  <w:rPr>
                    <w:color w:val="000000"/>
                  </w:rPr>
                  <w:t>Students will be able to present the results of their quantitative analysis effectively in both written and oral forms.</w:t>
                </w:r>
              </w:sdtContent>
            </w:sdt>
          </w:p>
        </w:tc>
        <w:tc>
          <w:tcPr>
            <w:tcW w:w="3240" w:type="dxa"/>
          </w:tcPr>
          <w:p w14:paraId="3FC9729B" w14:textId="77777777" w:rsidR="00F2371F" w:rsidRDefault="00F2371F" w:rsidP="00F2371F">
            <w:r>
              <w:t>MAT 112 – Introductory Algebra</w:t>
            </w:r>
          </w:p>
          <w:p w14:paraId="648AD6AB" w14:textId="77777777" w:rsidR="00F2371F" w:rsidRDefault="00F2371F" w:rsidP="00F2371F">
            <w:r>
              <w:t>MAT 115 – College Algebra</w:t>
            </w:r>
          </w:p>
          <w:p w14:paraId="730ECB4B" w14:textId="3D5A5209" w:rsidR="004C12D5" w:rsidRDefault="00F2371F" w:rsidP="00F2371F">
            <w:r>
              <w:t xml:space="preserve">MAT 225 – Foundations of Advanced Mathematics </w:t>
            </w:r>
          </w:p>
        </w:tc>
        <w:tc>
          <w:tcPr>
            <w:tcW w:w="4410" w:type="dxa"/>
          </w:tcPr>
          <w:p w14:paraId="6A66D5CC" w14:textId="77777777" w:rsidR="004C12D5" w:rsidRDefault="00664DA0" w:rsidP="00F63077">
            <w:pPr>
              <w:pStyle w:val="ListParagraph"/>
              <w:framePr w:wrap="around"/>
            </w:pPr>
            <w:r>
              <w:t>Oral presentation of results is a significant struggle for most students</w:t>
            </w:r>
          </w:p>
          <w:p w14:paraId="1999F269" w14:textId="3E12B6ED" w:rsidR="00664DA0" w:rsidRDefault="00664DA0" w:rsidP="00F63077">
            <w:pPr>
              <w:pStyle w:val="ListParagraph"/>
              <w:framePr w:wrap="around"/>
            </w:pPr>
            <w:r>
              <w:t>Written work is too often incomplete and messy</w:t>
            </w:r>
          </w:p>
        </w:tc>
        <w:tc>
          <w:tcPr>
            <w:tcW w:w="4500" w:type="dxa"/>
          </w:tcPr>
          <w:p w14:paraId="49E34E94" w14:textId="77777777" w:rsidR="00664DA0" w:rsidRDefault="00664DA0" w:rsidP="00F63077">
            <w:pPr>
              <w:pStyle w:val="ListParagraph"/>
              <w:framePr w:wrap="around"/>
            </w:pPr>
            <w:r>
              <w:t xml:space="preserve">Continue implementation of specific instructional methods designed to teach students how to do the mathematics required for theoretical math subjects rather than expecting students to learn how to “think mathematically” while they are in the midst of learning a new topic (e.g., number theory) </w:t>
            </w:r>
          </w:p>
          <w:p w14:paraId="304A4FBF" w14:textId="77777777" w:rsidR="00664DA0" w:rsidRDefault="00664DA0" w:rsidP="00F63077">
            <w:pPr>
              <w:pStyle w:val="ListParagraph"/>
              <w:framePr w:wrap="around"/>
            </w:pPr>
            <w:r>
              <w:t>Continue the implement Inquiry-Based Learning (IBL) techniques where possible</w:t>
            </w:r>
          </w:p>
          <w:p w14:paraId="2DE20CE8" w14:textId="77777777" w:rsidR="00664DA0" w:rsidRDefault="00664DA0" w:rsidP="00F63077">
            <w:pPr>
              <w:pStyle w:val="ListParagraph"/>
              <w:framePr w:wrap="around"/>
            </w:pPr>
            <w:r>
              <w:t>Expand the use of teaching “visual mathematics” where possible and appropriate</w:t>
            </w:r>
          </w:p>
          <w:p w14:paraId="41F56ADB" w14:textId="165A32DF" w:rsidR="004C12D5" w:rsidRDefault="00664DA0" w:rsidP="00500E19">
            <w:pPr>
              <w:pStyle w:val="ListParagraph"/>
              <w:framePr w:wrap="around"/>
            </w:pPr>
            <w:r>
              <w:t>Incorporate more “board” time into classes above MAT 116</w:t>
            </w:r>
          </w:p>
        </w:tc>
      </w:tr>
      <w:tr w:rsidR="007B37A0" w14:paraId="6F6FF5A7" w14:textId="77777777" w:rsidTr="007B37A0">
        <w:trPr>
          <w:trHeight w:val="1440"/>
        </w:trPr>
        <w:tc>
          <w:tcPr>
            <w:tcW w:w="2448" w:type="dxa"/>
          </w:tcPr>
          <w:p w14:paraId="3B6271A9" w14:textId="31630A22" w:rsidR="007B37A0" w:rsidRDefault="007B37A0" w:rsidP="007B37A0">
            <w:pPr>
              <w:rPr>
                <w:b/>
                <w:sz w:val="24"/>
                <w:szCs w:val="24"/>
              </w:rPr>
            </w:pPr>
            <w:r>
              <w:rPr>
                <w:b/>
                <w:sz w:val="24"/>
                <w:szCs w:val="24"/>
              </w:rPr>
              <w:lastRenderedPageBreak/>
              <w:t>Objective #5</w:t>
            </w:r>
            <w:r w:rsidRPr="007F34EA">
              <w:rPr>
                <w:b/>
                <w:sz w:val="24"/>
                <w:szCs w:val="24"/>
              </w:rPr>
              <w:t>:</w:t>
            </w:r>
          </w:p>
          <w:p w14:paraId="0C1EC3BE" w14:textId="4AAF2999" w:rsidR="007B37A0" w:rsidRDefault="007B37A0" w:rsidP="007B37A0">
            <w:pPr>
              <w:rPr>
                <w:b/>
                <w:sz w:val="24"/>
                <w:szCs w:val="24"/>
              </w:rPr>
            </w:pPr>
            <w:r w:rsidRPr="00112736">
              <w:rPr>
                <w:sz w:val="24"/>
                <w:szCs w:val="24"/>
              </w:rPr>
              <w:t xml:space="preserve">  </w:t>
            </w:r>
            <w:sdt>
              <w:sdtPr>
                <w:rPr>
                  <w:color w:val="000000"/>
                </w:rPr>
                <w:id w:val="4794669"/>
                <w:placeholder>
                  <w:docPart w:val="3F7B6B113D4D4561A5D5742897239DA1"/>
                </w:placeholder>
                <w:text/>
              </w:sdtPr>
              <w:sdtContent>
                <w:r w:rsidRPr="00560C10">
                  <w:rPr>
                    <w:color w:val="000000"/>
                  </w:rPr>
                  <w:t>Students will be able to correctly apply methodologies in order to draw accurate judgements and conclusions for quantitative analysis of data.</w:t>
                </w:r>
              </w:sdtContent>
            </w:sdt>
          </w:p>
        </w:tc>
        <w:tc>
          <w:tcPr>
            <w:tcW w:w="3240" w:type="dxa"/>
          </w:tcPr>
          <w:p w14:paraId="40469F9F" w14:textId="77777777" w:rsidR="007B37A0" w:rsidRDefault="007B37A0" w:rsidP="007B37A0">
            <w:r>
              <w:t>MAT 115 – College Algebra</w:t>
            </w:r>
          </w:p>
          <w:p w14:paraId="70665E04" w14:textId="77777777" w:rsidR="007B37A0" w:rsidRDefault="007B37A0" w:rsidP="007B37A0">
            <w:r>
              <w:t>MAT 116 – Pre-Calculus</w:t>
            </w:r>
          </w:p>
          <w:p w14:paraId="6814130D" w14:textId="76CA8FE6" w:rsidR="007B37A0" w:rsidRDefault="007B37A0" w:rsidP="007B37A0">
            <w:r>
              <w:t>MAT 120 – Calculus I</w:t>
            </w:r>
          </w:p>
          <w:p w14:paraId="652BCC10" w14:textId="77777777" w:rsidR="007B37A0" w:rsidRDefault="007B37A0" w:rsidP="007B37A0">
            <w:r>
              <w:t>PHY 100 – Physics I</w:t>
            </w:r>
          </w:p>
          <w:p w14:paraId="079FBF07" w14:textId="46B9414D" w:rsidR="007B37A0" w:rsidRDefault="007B37A0" w:rsidP="007B37A0">
            <w:r>
              <w:t>PHY 101 – Physics II</w:t>
            </w:r>
          </w:p>
          <w:p w14:paraId="1348127D" w14:textId="53FF4F2F" w:rsidR="007B37A0" w:rsidRDefault="007B37A0" w:rsidP="007B37A0"/>
        </w:tc>
        <w:tc>
          <w:tcPr>
            <w:tcW w:w="4410" w:type="dxa"/>
          </w:tcPr>
          <w:p w14:paraId="1AB1989C" w14:textId="77777777" w:rsidR="007B37A0" w:rsidRPr="00F63077" w:rsidRDefault="007B37A0" w:rsidP="00F63077">
            <w:pPr>
              <w:pStyle w:val="ListParagraph"/>
              <w:framePr w:wrap="around"/>
            </w:pPr>
            <w:r w:rsidRPr="00F63077">
              <w:t xml:space="preserve">We continue to see students who are unable to read and understand word problems, then transfer the content of the word problem to an appropriate framework for performing analysis </w:t>
            </w:r>
          </w:p>
          <w:p w14:paraId="4EF9FD4E" w14:textId="2A385092" w:rsidR="007B37A0" w:rsidRPr="00F63077" w:rsidRDefault="007B37A0" w:rsidP="00F63077">
            <w:pPr>
              <w:pStyle w:val="ListParagraph"/>
              <w:framePr w:wrap="around"/>
            </w:pPr>
            <w:r w:rsidRPr="00F63077">
              <w:t>Students who wish to pursue either a major or minor in mathematics nearly always have trouble making the transition from doing “calculation math” (algebra and calculus) to classes in which the focus is “theoretical mathematics” (proofs, number theory, etc.)</w:t>
            </w:r>
          </w:p>
        </w:tc>
        <w:tc>
          <w:tcPr>
            <w:tcW w:w="4500" w:type="dxa"/>
          </w:tcPr>
          <w:p w14:paraId="345DEE6F" w14:textId="2A48DDB6" w:rsidR="00664DA0" w:rsidRPr="00F63077" w:rsidRDefault="00664DA0" w:rsidP="00F63077">
            <w:pPr>
              <w:pStyle w:val="ListParagraph"/>
              <w:framePr w:wrap="around"/>
            </w:pPr>
            <w:r w:rsidRPr="00F63077">
              <w:t xml:space="preserve">Identify </w:t>
            </w:r>
            <w:r w:rsidR="00731A47" w:rsidRPr="00F63077">
              <w:t>and select</w:t>
            </w:r>
            <w:r w:rsidRPr="00F63077">
              <w:t xml:space="preserve"> math tutors who are particularly good at </w:t>
            </w:r>
            <w:r w:rsidR="00D709A0">
              <w:t xml:space="preserve">applying methodologies </w:t>
            </w:r>
            <w:r w:rsidRPr="00F63077">
              <w:t>and have SASC focus their tutoring efforts on helping students learn to solve word problems</w:t>
            </w:r>
          </w:p>
          <w:p w14:paraId="67778681" w14:textId="215BFAB1" w:rsidR="007B37A0" w:rsidRPr="00F63077" w:rsidRDefault="00D709A0" w:rsidP="00D709A0">
            <w:pPr>
              <w:pStyle w:val="ListParagraph"/>
              <w:framePr w:wrap="around"/>
            </w:pPr>
            <w:r w:rsidRPr="00D709A0">
              <w:t>Expand the use of the Math Learning Resource Center to provide substantive support for all levels of math abilities and generate enthusiasm for mathematics in the Rosemont student body population</w:t>
            </w:r>
          </w:p>
        </w:tc>
      </w:tr>
      <w:tr w:rsidR="004C12D5" w14:paraId="6E1C9449" w14:textId="77777777" w:rsidTr="007B37A0">
        <w:trPr>
          <w:trHeight w:val="1440"/>
        </w:trPr>
        <w:tc>
          <w:tcPr>
            <w:tcW w:w="2448" w:type="dxa"/>
          </w:tcPr>
          <w:p w14:paraId="62325CC6" w14:textId="7779BDDB" w:rsidR="004C12D5" w:rsidRDefault="004C12D5" w:rsidP="004C12D5">
            <w:pPr>
              <w:rPr>
                <w:b/>
                <w:sz w:val="24"/>
                <w:szCs w:val="24"/>
              </w:rPr>
            </w:pPr>
            <w:r>
              <w:rPr>
                <w:b/>
                <w:sz w:val="24"/>
                <w:szCs w:val="24"/>
              </w:rPr>
              <w:t>Objective #6</w:t>
            </w:r>
            <w:r w:rsidRPr="007F34EA">
              <w:rPr>
                <w:b/>
                <w:sz w:val="24"/>
                <w:szCs w:val="24"/>
              </w:rPr>
              <w:t>:</w:t>
            </w:r>
          </w:p>
          <w:p w14:paraId="342222DB" w14:textId="411DF238" w:rsidR="004C12D5" w:rsidRDefault="004C12D5" w:rsidP="004C12D5">
            <w:pPr>
              <w:rPr>
                <w:b/>
                <w:sz w:val="24"/>
                <w:szCs w:val="24"/>
              </w:rPr>
            </w:pPr>
            <w:r w:rsidRPr="00112736">
              <w:rPr>
                <w:sz w:val="24"/>
                <w:szCs w:val="24"/>
              </w:rPr>
              <w:t xml:space="preserve">  </w:t>
            </w:r>
            <w:sdt>
              <w:sdtPr>
                <w:rPr>
                  <w:color w:val="000000"/>
                </w:rPr>
                <w:id w:val="-1715108716"/>
                <w:placeholder>
                  <w:docPart w:val="8E06C0D0292B4AF99BB15B187C60695A"/>
                </w:placeholder>
                <w:text/>
              </w:sdtPr>
              <w:sdtContent>
                <w:r w:rsidRPr="00F35EF5">
                  <w:rPr>
                    <w:color w:val="000000"/>
                  </w:rPr>
                  <w:t>Students will demonstrate the ability to analyze alternate methods of performing quantitative analysis of data and decide on the most appropriate method for a given situation.</w:t>
                </w:r>
              </w:sdtContent>
            </w:sdt>
          </w:p>
        </w:tc>
        <w:tc>
          <w:tcPr>
            <w:tcW w:w="3240" w:type="dxa"/>
          </w:tcPr>
          <w:p w14:paraId="522EDE72" w14:textId="77777777" w:rsidR="00F2371F" w:rsidRDefault="00F2371F" w:rsidP="00F2371F">
            <w:r>
              <w:t>MAT 115 – College Algebra</w:t>
            </w:r>
          </w:p>
          <w:p w14:paraId="6B18989F" w14:textId="77777777" w:rsidR="00F2371F" w:rsidRDefault="00F2371F" w:rsidP="00F2371F">
            <w:r>
              <w:t>MAT 116 – Pre-Calculus</w:t>
            </w:r>
          </w:p>
          <w:p w14:paraId="29A40A78" w14:textId="77777777" w:rsidR="00F2371F" w:rsidRDefault="00F2371F" w:rsidP="00F2371F">
            <w:r>
              <w:t>MAT 120 – Calculus I</w:t>
            </w:r>
          </w:p>
          <w:p w14:paraId="15325711" w14:textId="77777777" w:rsidR="00F2371F" w:rsidRDefault="00F2371F" w:rsidP="00F2371F">
            <w:r>
              <w:t>PHY 100 – Physics I</w:t>
            </w:r>
          </w:p>
          <w:p w14:paraId="4742E6DD" w14:textId="77777777" w:rsidR="00F2371F" w:rsidRDefault="00F2371F" w:rsidP="00F2371F">
            <w:r>
              <w:t>PHY 101 – Physics II</w:t>
            </w:r>
          </w:p>
          <w:p w14:paraId="412DF12C" w14:textId="4E464769" w:rsidR="00F2371F" w:rsidRDefault="00F2371F" w:rsidP="00F2371F">
            <w:r>
              <w:t>CSC 140 – Introduction to Computer Programming</w:t>
            </w:r>
          </w:p>
          <w:p w14:paraId="1C9FECE6" w14:textId="77860C78" w:rsidR="004C12D5" w:rsidRDefault="004C12D5" w:rsidP="004C1048"/>
        </w:tc>
        <w:tc>
          <w:tcPr>
            <w:tcW w:w="4410" w:type="dxa"/>
          </w:tcPr>
          <w:p w14:paraId="4F08982F" w14:textId="77777777" w:rsidR="00664DA0" w:rsidRPr="00F63077" w:rsidRDefault="00664DA0" w:rsidP="00F63077">
            <w:pPr>
              <w:pStyle w:val="ListParagraph"/>
              <w:framePr w:wrap="around"/>
            </w:pPr>
            <w:r w:rsidRPr="00F63077">
              <w:t xml:space="preserve">We continue to see students who are unable to read and understand word problems, then transfer the content of the word problem to an appropriate framework for performing analysis </w:t>
            </w:r>
          </w:p>
          <w:p w14:paraId="0ABE1698" w14:textId="77777777" w:rsidR="004C12D5" w:rsidRPr="00F63077" w:rsidRDefault="00664DA0" w:rsidP="00F63077">
            <w:pPr>
              <w:pStyle w:val="ListParagraph"/>
              <w:framePr w:wrap="around"/>
            </w:pPr>
            <w:r w:rsidRPr="00F63077">
              <w:t>Students who wish to pursue either a major or minor in mathematics nearly always have trouble making the transition from doing “calculation math” (algebra and calculus) to classes in which the focus is “theoretical mathematics” (proofs, number theory, etc.)</w:t>
            </w:r>
          </w:p>
          <w:p w14:paraId="3E4FF604" w14:textId="05E663FA" w:rsidR="00664DA0" w:rsidRPr="00F63077" w:rsidRDefault="00664DA0" w:rsidP="00F63077">
            <w:pPr>
              <w:pStyle w:val="ListParagraph"/>
              <w:framePr w:wrap="around"/>
            </w:pPr>
            <w:r w:rsidRPr="00F63077">
              <w:t>Students in CSC 140 exhibited a significant lack of ability to think critically</w:t>
            </w:r>
          </w:p>
        </w:tc>
        <w:tc>
          <w:tcPr>
            <w:tcW w:w="4500" w:type="dxa"/>
          </w:tcPr>
          <w:p w14:paraId="3B3F33AE" w14:textId="57F04D4D" w:rsidR="00664DA0" w:rsidRPr="00F63077" w:rsidRDefault="00664DA0" w:rsidP="00F63077">
            <w:pPr>
              <w:pStyle w:val="ListParagraph"/>
              <w:framePr w:wrap="around"/>
            </w:pPr>
            <w:r w:rsidRPr="00F63077">
              <w:t xml:space="preserve">Identify </w:t>
            </w:r>
            <w:r w:rsidR="00731A47" w:rsidRPr="00F63077">
              <w:t>and select</w:t>
            </w:r>
            <w:r w:rsidRPr="00F63077">
              <w:t xml:space="preserve"> math tutors who are particularly good at this skill and have SASC focus their tutoring efforts on helping students learn to solve word problems</w:t>
            </w:r>
          </w:p>
          <w:p w14:paraId="0921A967" w14:textId="538F5248" w:rsidR="004C12D5" w:rsidRPr="00F63077" w:rsidRDefault="00731A47" w:rsidP="00F63077">
            <w:pPr>
              <w:pStyle w:val="ListParagraph"/>
              <w:framePr w:wrap="around"/>
            </w:pPr>
            <w:r>
              <w:t xml:space="preserve">Expand the use of the </w:t>
            </w:r>
            <w:r w:rsidRPr="00F63077">
              <w:t>Math</w:t>
            </w:r>
            <w:r w:rsidR="00664DA0" w:rsidRPr="00F63077">
              <w:t xml:space="preserve"> </w:t>
            </w:r>
            <w:r>
              <w:t xml:space="preserve">Learning </w:t>
            </w:r>
            <w:r w:rsidR="00664DA0" w:rsidRPr="00F63077">
              <w:t>Resource Center to provide substantive support for all levels of math abilities and generate enthusiasm for mathematics in the Rosemont student body population</w:t>
            </w:r>
          </w:p>
          <w:p w14:paraId="1C9DD5B7" w14:textId="18407934" w:rsidR="00664DA0" w:rsidRPr="00F63077" w:rsidRDefault="00664DA0" w:rsidP="00F63077">
            <w:pPr>
              <w:pStyle w:val="ListParagraph"/>
              <w:framePr w:wrap="around"/>
            </w:pPr>
            <w:r w:rsidRPr="00F63077">
              <w:t xml:space="preserve">Change the CSC 140 curriculum to include specific </w:t>
            </w:r>
            <w:r w:rsidR="00456191" w:rsidRPr="00F63077">
              <w:t>units focused on critical thinking</w:t>
            </w:r>
          </w:p>
        </w:tc>
      </w:tr>
    </w:tbl>
    <w:p w14:paraId="3337BF1F" w14:textId="77777777" w:rsidR="00E558F9" w:rsidRDefault="00E558F9" w:rsidP="006B660E">
      <w:pPr>
        <w:jc w:val="center"/>
        <w:rPr>
          <w:b/>
          <w:sz w:val="28"/>
          <w:szCs w:val="28"/>
        </w:rPr>
      </w:pPr>
    </w:p>
    <w:p w14:paraId="663C5193" w14:textId="77777777" w:rsidR="00E558F9" w:rsidRDefault="00E558F9" w:rsidP="006B660E">
      <w:pPr>
        <w:jc w:val="center"/>
        <w:rPr>
          <w:b/>
          <w:sz w:val="28"/>
          <w:szCs w:val="28"/>
        </w:rPr>
      </w:pPr>
    </w:p>
    <w:p w14:paraId="65CB3315" w14:textId="77777777" w:rsidR="00E558F9" w:rsidRDefault="00E558F9" w:rsidP="006B660E">
      <w:pPr>
        <w:jc w:val="center"/>
        <w:rPr>
          <w:b/>
          <w:sz w:val="28"/>
          <w:szCs w:val="28"/>
        </w:rPr>
      </w:pPr>
    </w:p>
    <w:p w14:paraId="513C15C3" w14:textId="77777777" w:rsidR="00E558F9" w:rsidRDefault="00E558F9" w:rsidP="006B660E">
      <w:pPr>
        <w:jc w:val="center"/>
        <w:rPr>
          <w:b/>
          <w:sz w:val="28"/>
          <w:szCs w:val="28"/>
        </w:rPr>
      </w:pPr>
    </w:p>
    <w:p w14:paraId="05D776C0" w14:textId="77777777" w:rsidR="00E558F9" w:rsidRDefault="00E558F9" w:rsidP="006B660E">
      <w:pPr>
        <w:jc w:val="center"/>
        <w:rPr>
          <w:b/>
          <w:sz w:val="28"/>
          <w:szCs w:val="28"/>
        </w:rPr>
      </w:pPr>
    </w:p>
    <w:p w14:paraId="12AE10B9" w14:textId="77777777" w:rsidR="00731A47" w:rsidRDefault="00731A47" w:rsidP="006B660E">
      <w:pPr>
        <w:jc w:val="center"/>
        <w:rPr>
          <w:b/>
          <w:sz w:val="28"/>
          <w:szCs w:val="28"/>
        </w:rPr>
      </w:pPr>
    </w:p>
    <w:p w14:paraId="15A0B404" w14:textId="77777777" w:rsidR="00731A47" w:rsidRDefault="00731A47" w:rsidP="006B660E">
      <w:pPr>
        <w:jc w:val="center"/>
        <w:rPr>
          <w:b/>
          <w:sz w:val="28"/>
          <w:szCs w:val="28"/>
        </w:rPr>
      </w:pPr>
    </w:p>
    <w:p w14:paraId="53775CF7" w14:textId="77777777" w:rsidR="00E558F9" w:rsidRDefault="00E558F9" w:rsidP="006B660E">
      <w:pPr>
        <w:jc w:val="center"/>
        <w:rPr>
          <w:b/>
          <w:sz w:val="28"/>
          <w:szCs w:val="28"/>
        </w:rPr>
      </w:pPr>
    </w:p>
    <w:p w14:paraId="3336C3D8" w14:textId="35F357AD" w:rsidR="003D56B2" w:rsidRDefault="00E173EC" w:rsidP="006B660E">
      <w:pPr>
        <w:jc w:val="center"/>
        <w:rPr>
          <w:b/>
          <w:sz w:val="28"/>
          <w:szCs w:val="28"/>
        </w:rPr>
      </w:pPr>
      <w:r w:rsidRPr="006B660E">
        <w:rPr>
          <w:b/>
          <w:sz w:val="28"/>
          <w:szCs w:val="28"/>
        </w:rPr>
        <w:t>Part B</w:t>
      </w:r>
      <w:r w:rsidR="00D7531A" w:rsidRPr="006B660E">
        <w:rPr>
          <w:b/>
          <w:sz w:val="28"/>
          <w:szCs w:val="28"/>
        </w:rPr>
        <w:t>:  (Please use the space available to elaborate)</w:t>
      </w:r>
    </w:p>
    <w:p w14:paraId="3336C3D9" w14:textId="2B9B794E" w:rsidR="003D56B2" w:rsidRDefault="003D56B2" w:rsidP="003D56B2">
      <w:pPr>
        <w:rPr>
          <w:sz w:val="28"/>
          <w:szCs w:val="28"/>
        </w:rPr>
      </w:pPr>
      <w:bookmarkStart w:id="0" w:name="_Hlk136666706"/>
      <w:r w:rsidRPr="0056352B">
        <w:rPr>
          <w:sz w:val="28"/>
          <w:szCs w:val="28"/>
          <w:u w:val="single"/>
        </w:rPr>
        <w:t>List planned improvements here</w:t>
      </w:r>
      <w:r>
        <w:rPr>
          <w:sz w:val="28"/>
          <w:szCs w:val="28"/>
        </w:rPr>
        <w:t xml:space="preserve">                  </w:t>
      </w:r>
      <w:r>
        <w:rPr>
          <w:sz w:val="28"/>
          <w:szCs w:val="28"/>
        </w:rPr>
        <w:tab/>
        <w:t xml:space="preserve">  </w:t>
      </w:r>
      <w:r w:rsidR="008343E4">
        <w:rPr>
          <w:sz w:val="28"/>
          <w:szCs w:val="28"/>
          <w:u w:val="single"/>
        </w:rPr>
        <w:t>Timeline</w:t>
      </w:r>
      <w:r w:rsidR="008D06FB">
        <w:rPr>
          <w:sz w:val="28"/>
          <w:szCs w:val="28"/>
          <w:u w:val="single"/>
        </w:rPr>
        <w:t xml:space="preserve"> for</w:t>
      </w:r>
      <w:r w:rsidRPr="0056352B">
        <w:rPr>
          <w:sz w:val="28"/>
          <w:szCs w:val="28"/>
          <w:u w:val="single"/>
        </w:rPr>
        <w:t xml:space="preserve"> planned improvement</w:t>
      </w:r>
      <w:r>
        <w:rPr>
          <w:sz w:val="28"/>
          <w:szCs w:val="28"/>
        </w:rPr>
        <w:t xml:space="preserve">          </w:t>
      </w:r>
      <w:r w:rsidRPr="0056352B">
        <w:rPr>
          <w:sz w:val="28"/>
          <w:szCs w:val="28"/>
          <w:u w:val="single"/>
        </w:rPr>
        <w:t>R</w:t>
      </w:r>
      <w:r w:rsidR="005B131E">
        <w:rPr>
          <w:sz w:val="28"/>
          <w:szCs w:val="28"/>
          <w:u w:val="single"/>
        </w:rPr>
        <w:t xml:space="preserve">easons for </w:t>
      </w:r>
      <w:r w:rsidR="008E4114">
        <w:rPr>
          <w:sz w:val="28"/>
          <w:szCs w:val="28"/>
          <w:u w:val="single"/>
        </w:rPr>
        <w:t>change and desired results</w:t>
      </w:r>
      <w:r w:rsidRPr="0056352B">
        <w:rPr>
          <w:sz w:val="28"/>
          <w:szCs w:val="28"/>
          <w:u w:val="single"/>
        </w:rPr>
        <w:t>?</w:t>
      </w:r>
      <w:r>
        <w:rPr>
          <w:sz w:val="28"/>
          <w:szCs w:val="28"/>
        </w:rPr>
        <w:t xml:space="preserve"> </w:t>
      </w:r>
      <w:bookmarkEnd w:id="0"/>
      <w:r>
        <w:rPr>
          <w:sz w:val="28"/>
          <w:szCs w:val="28"/>
        </w:rPr>
        <w:t xml:space="preserve">                               </w:t>
      </w:r>
    </w:p>
    <w:tbl>
      <w:tblPr>
        <w:tblStyle w:val="TableGrid"/>
        <w:tblpPr w:leftFromText="180" w:rightFromText="180" w:vertAnchor="text" w:horzAnchor="margin" w:tblpY="360"/>
        <w:tblW w:w="14643" w:type="dxa"/>
        <w:tblLayout w:type="fixed"/>
        <w:tblLook w:val="04A0" w:firstRow="1" w:lastRow="0" w:firstColumn="1" w:lastColumn="0" w:noHBand="0" w:noVBand="1"/>
      </w:tblPr>
      <w:tblGrid>
        <w:gridCol w:w="4929"/>
        <w:gridCol w:w="4857"/>
        <w:gridCol w:w="4857"/>
      </w:tblGrid>
      <w:tr w:rsidR="003D56B2" w14:paraId="3336C3DD" w14:textId="77777777" w:rsidTr="003D56B2">
        <w:trPr>
          <w:trHeight w:val="8000"/>
        </w:trPr>
        <w:tc>
          <w:tcPr>
            <w:tcW w:w="4929" w:type="dxa"/>
          </w:tcPr>
          <w:p w14:paraId="04A6F8C5" w14:textId="77777777" w:rsidR="00F63077" w:rsidRDefault="00F63077" w:rsidP="00F63077">
            <w:pPr>
              <w:pStyle w:val="ListParagraph"/>
              <w:framePr w:hSpace="0" w:wrap="auto" w:vAnchor="margin" w:hAnchor="text" w:yAlign="inline"/>
            </w:pPr>
            <w:r w:rsidRPr="00F63077">
              <w:t>Continue implementing active-learning and “visual mathematics” approaches to instruction in all math courses</w:t>
            </w:r>
          </w:p>
          <w:p w14:paraId="329CCC65" w14:textId="77777777" w:rsidR="00421C33" w:rsidRDefault="00421C33" w:rsidP="00421C33"/>
          <w:p w14:paraId="3A4A391D" w14:textId="77777777" w:rsidR="00421C33" w:rsidRDefault="00421C33" w:rsidP="00421C33"/>
          <w:p w14:paraId="11E644CC" w14:textId="77777777" w:rsidR="00421C33" w:rsidRDefault="00421C33" w:rsidP="00421C33"/>
          <w:p w14:paraId="2FAB8614" w14:textId="77777777" w:rsidR="00421C33" w:rsidRDefault="00421C33" w:rsidP="00421C33"/>
          <w:p w14:paraId="540A63D3" w14:textId="77777777" w:rsidR="00421C33" w:rsidRDefault="00421C33" w:rsidP="00421C33"/>
          <w:p w14:paraId="28E7F3CE" w14:textId="19083E6E" w:rsidR="00421C33" w:rsidRDefault="00421C33" w:rsidP="00F63077">
            <w:pPr>
              <w:pStyle w:val="ListParagraph"/>
              <w:framePr w:hSpace="0" w:wrap="auto" w:vAnchor="margin" w:hAnchor="text" w:yAlign="inline"/>
            </w:pPr>
            <w:r w:rsidRPr="00421C33">
              <w:t>Continue the implementation of Inquiry-Based Learning (IBL) techniques where possible</w:t>
            </w:r>
          </w:p>
          <w:p w14:paraId="1D1FC8BC" w14:textId="77777777" w:rsidR="0093369C" w:rsidRDefault="0093369C" w:rsidP="0093369C"/>
          <w:p w14:paraId="44B7A691" w14:textId="77777777" w:rsidR="0093369C" w:rsidRDefault="0093369C" w:rsidP="0093369C"/>
          <w:p w14:paraId="7B39E133" w14:textId="77777777" w:rsidR="0093369C" w:rsidRDefault="0093369C" w:rsidP="0093369C"/>
          <w:p w14:paraId="5E18E2E3" w14:textId="77777777" w:rsidR="0093369C" w:rsidRDefault="0093369C" w:rsidP="0093369C"/>
          <w:p w14:paraId="500907E7" w14:textId="77777777" w:rsidR="0093369C" w:rsidRDefault="0093369C" w:rsidP="0093369C"/>
          <w:p w14:paraId="4A85C0BB" w14:textId="10C1E9A2" w:rsidR="0093369C" w:rsidRDefault="0093369C" w:rsidP="00F63077">
            <w:pPr>
              <w:pStyle w:val="ListParagraph"/>
              <w:framePr w:hSpace="0" w:wrap="auto" w:vAnchor="margin" w:hAnchor="text" w:yAlign="inline"/>
            </w:pPr>
            <w:r w:rsidRPr="0093369C">
              <w:t>Continue attempts to gain better insights into student weaknesses, particularly in the early courses taken by the general student population, by performing beginning of course and end of course assessments in order to identify specific areas for review on how they are taught</w:t>
            </w:r>
          </w:p>
          <w:p w14:paraId="4F7C1482" w14:textId="77777777" w:rsidR="00731A47" w:rsidRDefault="00731A47" w:rsidP="00731A47">
            <w:pPr>
              <w:ind w:left="60"/>
            </w:pPr>
          </w:p>
          <w:p w14:paraId="0DEE16B0" w14:textId="201E06FA" w:rsidR="00731A47" w:rsidRDefault="00731A47" w:rsidP="00F63077">
            <w:pPr>
              <w:pStyle w:val="ListParagraph"/>
              <w:framePr w:hSpace="0" w:wrap="auto" w:vAnchor="margin" w:hAnchor="text" w:yAlign="inline"/>
            </w:pPr>
            <w:r w:rsidRPr="00731A47">
              <w:t>Incorporate more “board” time into classes above MAT 116</w:t>
            </w:r>
          </w:p>
          <w:p w14:paraId="40F1B7DA" w14:textId="77777777" w:rsidR="00D709A0" w:rsidRDefault="00D709A0" w:rsidP="00D709A0">
            <w:pPr>
              <w:ind w:left="60"/>
            </w:pPr>
          </w:p>
          <w:p w14:paraId="61C796D1" w14:textId="77777777" w:rsidR="00D709A0" w:rsidRDefault="00D709A0" w:rsidP="00D709A0">
            <w:pPr>
              <w:ind w:left="60"/>
            </w:pPr>
          </w:p>
          <w:p w14:paraId="1474B9C5" w14:textId="77777777" w:rsidR="00D709A0" w:rsidRDefault="00D709A0" w:rsidP="00D709A0">
            <w:pPr>
              <w:ind w:left="60"/>
            </w:pPr>
          </w:p>
          <w:p w14:paraId="11939AF3" w14:textId="77777777" w:rsidR="00D709A0" w:rsidRDefault="00D709A0" w:rsidP="00D709A0">
            <w:pPr>
              <w:ind w:left="60"/>
            </w:pPr>
          </w:p>
          <w:p w14:paraId="2F4BFF73" w14:textId="77777777" w:rsidR="00D709A0" w:rsidRDefault="00D709A0" w:rsidP="00D709A0">
            <w:pPr>
              <w:ind w:left="60"/>
            </w:pPr>
          </w:p>
          <w:p w14:paraId="0C31F9F7" w14:textId="77777777" w:rsidR="00D709A0" w:rsidRDefault="00D709A0" w:rsidP="00D709A0">
            <w:pPr>
              <w:ind w:left="60"/>
            </w:pPr>
          </w:p>
          <w:p w14:paraId="78FC901F" w14:textId="77777777" w:rsidR="00D709A0" w:rsidRDefault="00D709A0" w:rsidP="00D709A0">
            <w:pPr>
              <w:ind w:left="60"/>
            </w:pPr>
          </w:p>
          <w:p w14:paraId="1C3258B6" w14:textId="77777777" w:rsidR="00D709A0" w:rsidRDefault="00D709A0" w:rsidP="00D709A0">
            <w:pPr>
              <w:ind w:left="60"/>
            </w:pPr>
          </w:p>
          <w:p w14:paraId="2355588A" w14:textId="77777777" w:rsidR="00D709A0" w:rsidRDefault="00D709A0" w:rsidP="00D709A0">
            <w:pPr>
              <w:ind w:left="60"/>
            </w:pPr>
          </w:p>
          <w:p w14:paraId="25B6AB28" w14:textId="4FD707BF" w:rsidR="00D709A0" w:rsidRPr="00D709A0" w:rsidRDefault="00D709A0" w:rsidP="00D709A0">
            <w:pPr>
              <w:pStyle w:val="ListParagraph"/>
              <w:framePr w:hSpace="0" w:wrap="auto" w:vAnchor="margin" w:hAnchor="text" w:yAlign="inline"/>
            </w:pPr>
            <w:r w:rsidRPr="00D709A0">
              <w:t>Identify and select math tutors who are particularly good at applying methodologies and have SASC focus their tutoring efforts on helping students learn to solve word problems</w:t>
            </w:r>
          </w:p>
          <w:p w14:paraId="7A316D78" w14:textId="77777777" w:rsidR="006256FC" w:rsidRDefault="006256FC" w:rsidP="006256FC">
            <w:pPr>
              <w:ind w:left="60"/>
            </w:pPr>
          </w:p>
          <w:p w14:paraId="4EB9F615" w14:textId="77777777" w:rsidR="006256FC" w:rsidRDefault="006256FC" w:rsidP="006256FC">
            <w:pPr>
              <w:ind w:left="60"/>
            </w:pPr>
          </w:p>
          <w:p w14:paraId="7454772B" w14:textId="77777777" w:rsidR="006256FC" w:rsidRDefault="006256FC" w:rsidP="006256FC">
            <w:pPr>
              <w:ind w:left="60"/>
            </w:pPr>
          </w:p>
          <w:p w14:paraId="4DB09DAD" w14:textId="77777777" w:rsidR="006256FC" w:rsidRDefault="006256FC" w:rsidP="006256FC">
            <w:pPr>
              <w:ind w:left="60"/>
            </w:pPr>
          </w:p>
          <w:p w14:paraId="5A9B1E9D" w14:textId="676CA2DB" w:rsidR="00D709A0" w:rsidRDefault="00D709A0" w:rsidP="00D709A0">
            <w:pPr>
              <w:pStyle w:val="ListParagraph"/>
              <w:framePr w:hSpace="0" w:wrap="auto" w:vAnchor="margin" w:hAnchor="text" w:yAlign="inline"/>
            </w:pPr>
            <w:r w:rsidRPr="00D709A0">
              <w:t>Change the CSC 140 curriculum to include specific units focused on critical thinking</w:t>
            </w:r>
          </w:p>
          <w:p w14:paraId="6CCB9EE1" w14:textId="77777777" w:rsidR="00D709A0" w:rsidRDefault="00D709A0" w:rsidP="00D709A0"/>
          <w:p w14:paraId="0B6613ED" w14:textId="77777777" w:rsidR="00D709A0" w:rsidRDefault="00D709A0" w:rsidP="00D709A0"/>
          <w:p w14:paraId="3336C3DA" w14:textId="3B26C487" w:rsidR="00F63077" w:rsidRPr="00F63077" w:rsidRDefault="00F63077" w:rsidP="00421C33">
            <w:pPr>
              <w:pStyle w:val="ListParagraph"/>
              <w:framePr w:hSpace="0" w:wrap="auto" w:vAnchor="margin" w:hAnchor="text" w:yAlign="inline"/>
              <w:numPr>
                <w:ilvl w:val="0"/>
                <w:numId w:val="0"/>
              </w:numPr>
              <w:ind w:left="330"/>
              <w:rPr>
                <w:sz w:val="28"/>
                <w:szCs w:val="28"/>
              </w:rPr>
            </w:pPr>
          </w:p>
        </w:tc>
        <w:tc>
          <w:tcPr>
            <w:tcW w:w="4857" w:type="dxa"/>
          </w:tcPr>
          <w:p w14:paraId="26232F98" w14:textId="77777777" w:rsidR="003D56B2" w:rsidRDefault="00F63077" w:rsidP="00F63077">
            <w:pPr>
              <w:pStyle w:val="ListParagraph"/>
              <w:framePr w:hSpace="0" w:wrap="auto" w:vAnchor="margin" w:hAnchor="text" w:yAlign="inline"/>
            </w:pPr>
            <w:r>
              <w:lastRenderedPageBreak/>
              <w:t>AY 2023 – 2024 through AY 2025-2026</w:t>
            </w:r>
          </w:p>
          <w:p w14:paraId="41385FF8" w14:textId="77777777" w:rsidR="00421C33" w:rsidRDefault="00421C33" w:rsidP="00421C33"/>
          <w:p w14:paraId="1DC02A29" w14:textId="77777777" w:rsidR="00421C33" w:rsidRDefault="00421C33" w:rsidP="00421C33"/>
          <w:p w14:paraId="5210F034" w14:textId="77777777" w:rsidR="00421C33" w:rsidRDefault="00421C33" w:rsidP="00421C33"/>
          <w:p w14:paraId="0346128F" w14:textId="77777777" w:rsidR="00421C33" w:rsidRDefault="00421C33" w:rsidP="00421C33"/>
          <w:p w14:paraId="3FA96973" w14:textId="77777777" w:rsidR="00421C33" w:rsidRDefault="00421C33" w:rsidP="00421C33"/>
          <w:p w14:paraId="509BFDDF" w14:textId="77777777" w:rsidR="00421C33" w:rsidRDefault="00421C33" w:rsidP="00421C33"/>
          <w:p w14:paraId="13EBCC9D" w14:textId="77777777" w:rsidR="00421C33" w:rsidRDefault="00421C33" w:rsidP="00421C33"/>
          <w:p w14:paraId="45441B51" w14:textId="77777777" w:rsidR="00421C33" w:rsidRDefault="00421C33" w:rsidP="00421C33">
            <w:pPr>
              <w:pStyle w:val="ListParagraph"/>
              <w:framePr w:hSpace="0" w:wrap="auto" w:vAnchor="margin" w:hAnchor="text" w:yAlign="inline"/>
            </w:pPr>
            <w:r>
              <w:t xml:space="preserve">AY 2023 – 2024 </w:t>
            </w:r>
            <w:r w:rsidR="0093369C">
              <w:t>and beyond</w:t>
            </w:r>
          </w:p>
          <w:p w14:paraId="1FDDE314" w14:textId="77777777" w:rsidR="0093369C" w:rsidRDefault="0093369C" w:rsidP="00421C33">
            <w:pPr>
              <w:pStyle w:val="ListParagraph"/>
              <w:framePr w:hSpace="0" w:wrap="auto" w:vAnchor="margin" w:hAnchor="text" w:yAlign="inline"/>
            </w:pPr>
            <w:r>
              <w:t>Already implemented in MAT 200 and MAT 225</w:t>
            </w:r>
          </w:p>
          <w:p w14:paraId="7333FB52" w14:textId="4C57A59B" w:rsidR="0093369C" w:rsidRDefault="0093369C" w:rsidP="00421C33">
            <w:pPr>
              <w:pStyle w:val="ListParagraph"/>
              <w:framePr w:hSpace="0" w:wrap="auto" w:vAnchor="margin" w:hAnchor="text" w:yAlign="inline"/>
            </w:pPr>
            <w:r>
              <w:t>Planned to be implemented in MAT 120, PHY 100, and PHY 101 in AY 2023 – 2024</w:t>
            </w:r>
          </w:p>
          <w:p w14:paraId="410EA141" w14:textId="77777777" w:rsidR="0093369C" w:rsidRDefault="0093369C" w:rsidP="00421C33">
            <w:pPr>
              <w:pStyle w:val="ListParagraph"/>
              <w:framePr w:hSpace="0" w:wrap="auto" w:vAnchor="margin" w:hAnchor="text" w:yAlign="inline"/>
            </w:pPr>
            <w:r>
              <w:t>Planned for implemented in CSC 140 in AY 2024-2025</w:t>
            </w:r>
          </w:p>
          <w:p w14:paraId="21854F81" w14:textId="77777777" w:rsidR="0093369C" w:rsidRDefault="0093369C" w:rsidP="0093369C"/>
          <w:p w14:paraId="76F347B4" w14:textId="77777777" w:rsidR="0093369C" w:rsidRDefault="0093369C" w:rsidP="00421C33">
            <w:pPr>
              <w:pStyle w:val="ListParagraph"/>
              <w:framePr w:hSpace="0" w:wrap="auto" w:vAnchor="margin" w:hAnchor="text" w:yAlign="inline"/>
            </w:pPr>
            <w:r>
              <w:t>To be implemented in MAT 112 and MAT 115 in AY 2023-2024</w:t>
            </w:r>
          </w:p>
          <w:p w14:paraId="6E12AC9D" w14:textId="77777777" w:rsidR="00731A47" w:rsidRDefault="00731A47" w:rsidP="00731A47">
            <w:pPr>
              <w:ind w:left="60"/>
            </w:pPr>
          </w:p>
          <w:p w14:paraId="780DD762" w14:textId="77777777" w:rsidR="00731A47" w:rsidRDefault="00731A47" w:rsidP="00731A47">
            <w:pPr>
              <w:ind w:left="60"/>
            </w:pPr>
          </w:p>
          <w:p w14:paraId="73BEB34D" w14:textId="77777777" w:rsidR="00731A47" w:rsidRDefault="00731A47" w:rsidP="00731A47">
            <w:pPr>
              <w:ind w:left="60"/>
            </w:pPr>
          </w:p>
          <w:p w14:paraId="4EB7648A" w14:textId="77777777" w:rsidR="00731A47" w:rsidRDefault="00731A47" w:rsidP="00731A47">
            <w:pPr>
              <w:ind w:left="60"/>
            </w:pPr>
          </w:p>
          <w:p w14:paraId="41F91193" w14:textId="77777777" w:rsidR="00731A47" w:rsidRDefault="00731A47" w:rsidP="00731A47">
            <w:pPr>
              <w:ind w:left="60"/>
            </w:pPr>
          </w:p>
          <w:p w14:paraId="000140AF" w14:textId="77777777" w:rsidR="00731A47" w:rsidRDefault="00731A47" w:rsidP="00731A47">
            <w:pPr>
              <w:ind w:left="60"/>
            </w:pPr>
          </w:p>
          <w:p w14:paraId="4C15DFFB" w14:textId="77777777" w:rsidR="00731A47" w:rsidRDefault="00731A47" w:rsidP="00421C33">
            <w:pPr>
              <w:pStyle w:val="ListParagraph"/>
              <w:framePr w:hSpace="0" w:wrap="auto" w:vAnchor="margin" w:hAnchor="text" w:yAlign="inline"/>
            </w:pPr>
            <w:r>
              <w:t>To be implemented in MAT 120 and MAT 225 in AY 2023-2024</w:t>
            </w:r>
          </w:p>
          <w:p w14:paraId="21977053" w14:textId="77777777" w:rsidR="00D709A0" w:rsidRDefault="00D709A0" w:rsidP="00D709A0"/>
          <w:p w14:paraId="6E1501E1" w14:textId="77777777" w:rsidR="00D709A0" w:rsidRDefault="00D709A0" w:rsidP="00D709A0"/>
          <w:p w14:paraId="178E8A52" w14:textId="77777777" w:rsidR="00D709A0" w:rsidRDefault="00D709A0" w:rsidP="00D709A0"/>
          <w:p w14:paraId="5B31921B" w14:textId="77777777" w:rsidR="00D709A0" w:rsidRDefault="00D709A0" w:rsidP="00D709A0"/>
          <w:p w14:paraId="12E2A625" w14:textId="77777777" w:rsidR="00D709A0" w:rsidRDefault="00D709A0" w:rsidP="00D709A0"/>
          <w:p w14:paraId="2844C805" w14:textId="77777777" w:rsidR="00D709A0" w:rsidRDefault="00D709A0" w:rsidP="00D709A0"/>
          <w:p w14:paraId="0E595F88" w14:textId="77777777" w:rsidR="00D709A0" w:rsidRDefault="00D709A0" w:rsidP="00D709A0"/>
          <w:p w14:paraId="7E03DB95" w14:textId="77777777" w:rsidR="00D709A0" w:rsidRDefault="00D709A0" w:rsidP="00D709A0"/>
          <w:p w14:paraId="63D808BA" w14:textId="77777777" w:rsidR="00D709A0" w:rsidRDefault="00D709A0" w:rsidP="00D709A0"/>
          <w:p w14:paraId="02AEBA6E" w14:textId="77777777" w:rsidR="00D709A0" w:rsidRDefault="00D709A0" w:rsidP="00D709A0">
            <w:pPr>
              <w:pStyle w:val="ListParagraph"/>
              <w:framePr w:hSpace="0" w:wrap="auto" w:vAnchor="margin" w:hAnchor="text" w:yAlign="inline"/>
            </w:pPr>
            <w:r w:rsidRPr="00D709A0">
              <w:t>To be implemented in AY 2023-2024</w:t>
            </w:r>
          </w:p>
          <w:p w14:paraId="1BFC16FB" w14:textId="77777777" w:rsidR="006256FC" w:rsidRDefault="006256FC" w:rsidP="006256FC"/>
          <w:p w14:paraId="75166871" w14:textId="77777777" w:rsidR="006256FC" w:rsidRDefault="006256FC" w:rsidP="006256FC"/>
          <w:p w14:paraId="750CEA2C" w14:textId="77777777" w:rsidR="006256FC" w:rsidRDefault="006256FC" w:rsidP="006256FC"/>
          <w:p w14:paraId="5D57CFD3" w14:textId="77777777" w:rsidR="006256FC" w:rsidRDefault="006256FC" w:rsidP="006256FC"/>
          <w:p w14:paraId="24939EA9" w14:textId="77777777" w:rsidR="006256FC" w:rsidRDefault="006256FC" w:rsidP="006256FC"/>
          <w:p w14:paraId="359CF416" w14:textId="77777777" w:rsidR="006256FC" w:rsidRDefault="006256FC" w:rsidP="006256FC"/>
          <w:p w14:paraId="57893D56" w14:textId="77777777" w:rsidR="006256FC" w:rsidRDefault="006256FC" w:rsidP="006256FC"/>
          <w:p w14:paraId="3336C3DB" w14:textId="35DE6D75" w:rsidR="006256FC" w:rsidRDefault="006256FC" w:rsidP="006256FC">
            <w:pPr>
              <w:pStyle w:val="ListParagraph"/>
              <w:framePr w:hSpace="0" w:wrap="auto" w:vAnchor="margin" w:hAnchor="text" w:yAlign="inline"/>
            </w:pPr>
            <w:r w:rsidRPr="00D709A0">
              <w:t>To be implemented in AY 2023-2024</w:t>
            </w:r>
          </w:p>
        </w:tc>
        <w:tc>
          <w:tcPr>
            <w:tcW w:w="4857" w:type="dxa"/>
          </w:tcPr>
          <w:p w14:paraId="069E7058" w14:textId="77777777" w:rsidR="003D56B2" w:rsidRDefault="00F63077" w:rsidP="00F63077">
            <w:pPr>
              <w:pStyle w:val="ListParagraph"/>
              <w:framePr w:hSpace="0" w:wrap="auto" w:vAnchor="margin" w:hAnchor="text" w:yAlign="inline"/>
            </w:pPr>
            <w:r>
              <w:lastRenderedPageBreak/>
              <w:t>Studies show that students learn mathematics much more effectively when subject material is presented visually rather than simply through lectures. This will take some time to fully implement, but the goal is to improve the level of understanding students achieve in all math classes, especially the 100-level courses.</w:t>
            </w:r>
          </w:p>
          <w:p w14:paraId="5A4C2E86" w14:textId="77777777" w:rsidR="00F63077" w:rsidRDefault="00F63077" w:rsidP="00F63077"/>
          <w:p w14:paraId="60C9D328" w14:textId="4C20AD84" w:rsidR="00421C33" w:rsidRDefault="00421C33" w:rsidP="00421C33">
            <w:pPr>
              <w:pStyle w:val="ListParagraph"/>
              <w:framePr w:hSpace="0" w:wrap="auto" w:vAnchor="margin" w:hAnchor="text" w:yAlign="inline"/>
            </w:pPr>
            <w:r>
              <w:t xml:space="preserve">Studies show that students learn mathematics much more effectively when </w:t>
            </w:r>
            <w:r w:rsidR="008745B8">
              <w:t xml:space="preserve">they are more immersed in </w:t>
            </w:r>
            <w:r w:rsidR="0093369C">
              <w:t>the learning process.</w:t>
            </w:r>
          </w:p>
          <w:p w14:paraId="666CAFEA" w14:textId="77777777" w:rsidR="00F63077" w:rsidRDefault="0093369C" w:rsidP="00F63077">
            <w:pPr>
              <w:pStyle w:val="ListParagraph"/>
              <w:framePr w:hSpace="0" w:wrap="auto" w:vAnchor="margin" w:hAnchor="text" w:yAlign="inline"/>
            </w:pPr>
            <w:r>
              <w:t>Goal is to improve the level of understanding students achieve in all math and physics classes</w:t>
            </w:r>
          </w:p>
          <w:p w14:paraId="28BCB553" w14:textId="77777777" w:rsidR="00731A47" w:rsidRDefault="00731A47" w:rsidP="00731A47"/>
          <w:p w14:paraId="4CB1729C" w14:textId="77777777" w:rsidR="00731A47" w:rsidRDefault="00731A47" w:rsidP="00731A47"/>
          <w:p w14:paraId="561BF816" w14:textId="77777777" w:rsidR="00731A47" w:rsidRDefault="0093369C" w:rsidP="00731A47">
            <w:pPr>
              <w:pStyle w:val="ListParagraph"/>
              <w:framePr w:hSpace="0" w:wrap="auto" w:vAnchor="margin" w:hAnchor="text" w:yAlign="inline"/>
            </w:pPr>
            <w:r>
              <w:t xml:space="preserve">This change </w:t>
            </w:r>
            <w:r w:rsidR="00731A47">
              <w:t xml:space="preserve">is planned to assist the instructor in maximizing the areas on which time and emphasis is placed </w:t>
            </w:r>
          </w:p>
          <w:p w14:paraId="0FE345EC" w14:textId="77777777" w:rsidR="00731A47" w:rsidRDefault="00731A47" w:rsidP="00731A47"/>
          <w:p w14:paraId="06CF6DDC" w14:textId="77777777" w:rsidR="00731A47" w:rsidRDefault="00731A47" w:rsidP="00731A47"/>
          <w:p w14:paraId="125F23BD" w14:textId="77777777" w:rsidR="00731A47" w:rsidRDefault="00731A47" w:rsidP="00731A47"/>
          <w:p w14:paraId="5594E2D4" w14:textId="77777777" w:rsidR="00731A47" w:rsidRDefault="00731A47" w:rsidP="00731A47"/>
          <w:p w14:paraId="539C667B" w14:textId="77777777" w:rsidR="00731A47" w:rsidRDefault="00731A47" w:rsidP="00731A47"/>
          <w:p w14:paraId="43677622" w14:textId="2D5F2E23" w:rsidR="00731A47" w:rsidRDefault="00731A47" w:rsidP="00731A47">
            <w:pPr>
              <w:pStyle w:val="ListParagraph"/>
              <w:framePr w:hSpace="0" w:wrap="auto" w:vAnchor="margin" w:hAnchor="text" w:yAlign="inline"/>
            </w:pPr>
            <w:r>
              <w:t>Improve o</w:t>
            </w:r>
            <w:r w:rsidRPr="00731A47">
              <w:t>ral presentation of results</w:t>
            </w:r>
            <w:r>
              <w:t xml:space="preserve"> by </w:t>
            </w:r>
            <w:r w:rsidRPr="00731A47">
              <w:t>students</w:t>
            </w:r>
            <w:r>
              <w:t xml:space="preserve"> and encourage more student interaction by having students critique work presented and assist presenter through areas of difficulty</w:t>
            </w:r>
          </w:p>
          <w:p w14:paraId="2912E4C8" w14:textId="77777777" w:rsidR="00D709A0" w:rsidRDefault="00D709A0" w:rsidP="00D709A0">
            <w:pPr>
              <w:spacing w:after="200" w:line="276" w:lineRule="auto"/>
            </w:pPr>
          </w:p>
          <w:p w14:paraId="52D3F431" w14:textId="77777777" w:rsidR="00D709A0" w:rsidRDefault="00D709A0" w:rsidP="00D709A0">
            <w:pPr>
              <w:spacing w:after="200" w:line="276" w:lineRule="auto"/>
            </w:pPr>
          </w:p>
          <w:p w14:paraId="036082F3" w14:textId="77777777" w:rsidR="00D709A0" w:rsidRPr="00731A47" w:rsidRDefault="00D709A0" w:rsidP="00D709A0"/>
          <w:p w14:paraId="2E9430FB" w14:textId="77777777" w:rsidR="00731A47" w:rsidRDefault="00D709A0" w:rsidP="00731A47">
            <w:pPr>
              <w:pStyle w:val="ListParagraph"/>
              <w:framePr w:hSpace="0" w:wrap="auto" w:vAnchor="margin" w:hAnchor="text" w:yAlign="inline"/>
            </w:pPr>
            <w:r>
              <w:t>Many math students, especially in the 100-level courses, need assistance outside the classroom in learning which methodology to use and how to correctly apply it. With a sufficient level of tutoring, many students should show a marked improvement in their applications of correct methodologies</w:t>
            </w:r>
          </w:p>
          <w:p w14:paraId="3A0DE06C" w14:textId="77777777" w:rsidR="006256FC" w:rsidRDefault="006256FC" w:rsidP="006256FC">
            <w:pPr>
              <w:ind w:left="60"/>
            </w:pPr>
          </w:p>
          <w:p w14:paraId="3336C3DC" w14:textId="6E74E56A" w:rsidR="00D709A0" w:rsidRDefault="006256FC" w:rsidP="00731A47">
            <w:pPr>
              <w:pStyle w:val="ListParagraph"/>
              <w:framePr w:hSpace="0" w:wrap="auto" w:vAnchor="margin" w:hAnchor="text" w:yAlign="inline"/>
            </w:pPr>
            <w:r>
              <w:t>Learning computer programming requires the ability to think logically and critically in order to create algorithms that accomplish the desired goal. This past spring, fully 60% of the students taking CSC 140 had significant difficulties thinking through an assignment to come up with a logical response. Adding more focus to critical thinking should allow students to learn to write more effective algorithms</w:t>
            </w:r>
          </w:p>
        </w:tc>
      </w:tr>
    </w:tbl>
    <w:p w14:paraId="3336C3DE" w14:textId="77777777" w:rsidR="003D56B2" w:rsidRPr="006B660E" w:rsidRDefault="003D56B2" w:rsidP="006B660E">
      <w:pPr>
        <w:jc w:val="center"/>
        <w:rPr>
          <w:b/>
          <w:sz w:val="28"/>
          <w:szCs w:val="28"/>
        </w:rPr>
      </w:pPr>
    </w:p>
    <w:p w14:paraId="3336C3DF" w14:textId="77777777" w:rsidR="006B660E" w:rsidRDefault="006B660E" w:rsidP="006B660E">
      <w:pPr>
        <w:jc w:val="right"/>
        <w:rPr>
          <w:sz w:val="28"/>
          <w:szCs w:val="28"/>
        </w:rPr>
      </w:pPr>
    </w:p>
    <w:p w14:paraId="3336C3E0" w14:textId="77777777" w:rsidR="003D56B2" w:rsidRDefault="003D56B2" w:rsidP="006B660E">
      <w:pPr>
        <w:jc w:val="right"/>
        <w:rPr>
          <w:sz w:val="28"/>
          <w:szCs w:val="28"/>
        </w:rPr>
      </w:pPr>
    </w:p>
    <w:p w14:paraId="3336C3E1" w14:textId="77777777" w:rsidR="006B660E" w:rsidRDefault="006B660E" w:rsidP="006B660E">
      <w:pPr>
        <w:rPr>
          <w:sz w:val="28"/>
          <w:szCs w:val="28"/>
        </w:rPr>
      </w:pPr>
    </w:p>
    <w:p w14:paraId="3336C3E2" w14:textId="77777777" w:rsidR="00BD7139" w:rsidRDefault="00BD7139" w:rsidP="006B660E">
      <w:pPr>
        <w:rPr>
          <w:sz w:val="28"/>
          <w:szCs w:val="28"/>
          <w:u w:val="single"/>
        </w:rPr>
      </w:pPr>
    </w:p>
    <w:p w14:paraId="30E95B46" w14:textId="6A0D73A4" w:rsidR="006256FC" w:rsidRDefault="006256FC" w:rsidP="006256FC">
      <w:pPr>
        <w:jc w:val="center"/>
        <w:rPr>
          <w:sz w:val="28"/>
          <w:szCs w:val="28"/>
          <w:u w:val="single"/>
        </w:rPr>
      </w:pPr>
      <w:r w:rsidRPr="006B660E">
        <w:rPr>
          <w:b/>
          <w:sz w:val="28"/>
          <w:szCs w:val="28"/>
        </w:rPr>
        <w:lastRenderedPageBreak/>
        <w:t xml:space="preserve">Part </w:t>
      </w:r>
      <w:r>
        <w:rPr>
          <w:b/>
          <w:sz w:val="28"/>
          <w:szCs w:val="28"/>
        </w:rPr>
        <w:t>C</w:t>
      </w:r>
      <w:r w:rsidRPr="006B660E">
        <w:rPr>
          <w:b/>
          <w:sz w:val="28"/>
          <w:szCs w:val="28"/>
        </w:rPr>
        <w:t>:  (Please use the space available to elaborate)</w:t>
      </w:r>
    </w:p>
    <w:p w14:paraId="3336C3E3" w14:textId="07826856" w:rsidR="006B660E" w:rsidRDefault="002C18A2" w:rsidP="006B660E">
      <w:pPr>
        <w:rPr>
          <w:sz w:val="28"/>
          <w:szCs w:val="28"/>
        </w:rPr>
      </w:pPr>
      <w:r>
        <w:rPr>
          <w:sz w:val="28"/>
          <w:szCs w:val="28"/>
          <w:u w:val="single"/>
        </w:rPr>
        <w:t>List previous</w:t>
      </w:r>
      <w:r w:rsidR="006B660E">
        <w:rPr>
          <w:sz w:val="28"/>
          <w:szCs w:val="28"/>
          <w:u w:val="single"/>
        </w:rPr>
        <w:t xml:space="preserve"> plan</w:t>
      </w:r>
      <w:r>
        <w:rPr>
          <w:sz w:val="28"/>
          <w:szCs w:val="28"/>
          <w:u w:val="single"/>
        </w:rPr>
        <w:t>s</w:t>
      </w:r>
      <w:r w:rsidR="006B660E">
        <w:rPr>
          <w:sz w:val="28"/>
          <w:szCs w:val="28"/>
          <w:u w:val="single"/>
        </w:rPr>
        <w:t xml:space="preserve"> </w:t>
      </w:r>
      <w:r w:rsidR="006B660E" w:rsidRPr="006B660E">
        <w:rPr>
          <w:sz w:val="28"/>
          <w:szCs w:val="28"/>
          <w:u w:val="single"/>
        </w:rPr>
        <w:t>here</w:t>
      </w:r>
      <w:r w:rsidR="006B660E">
        <w:rPr>
          <w:sz w:val="28"/>
          <w:szCs w:val="28"/>
        </w:rPr>
        <w:t xml:space="preserve">    </w:t>
      </w:r>
      <w:r>
        <w:rPr>
          <w:sz w:val="28"/>
          <w:szCs w:val="28"/>
        </w:rPr>
        <w:t xml:space="preserve">           </w:t>
      </w:r>
      <w:r w:rsidR="006B660E">
        <w:rPr>
          <w:sz w:val="28"/>
          <w:szCs w:val="28"/>
        </w:rPr>
        <w:t xml:space="preserve">                      </w:t>
      </w:r>
      <w:r w:rsidR="006B660E" w:rsidRPr="006B660E">
        <w:rPr>
          <w:sz w:val="28"/>
          <w:szCs w:val="28"/>
          <w:u w:val="single"/>
        </w:rPr>
        <w:t>Status of planned improvement</w:t>
      </w:r>
      <w:r w:rsidR="006B660E">
        <w:rPr>
          <w:sz w:val="28"/>
          <w:szCs w:val="28"/>
        </w:rPr>
        <w:t xml:space="preserve">               </w:t>
      </w:r>
      <w:r w:rsidR="00732E5E" w:rsidRPr="009E1C98">
        <w:rPr>
          <w:sz w:val="28"/>
          <w:szCs w:val="28"/>
          <w:u w:val="single"/>
        </w:rPr>
        <w:t xml:space="preserve">Evidence of </w:t>
      </w:r>
      <w:r w:rsidR="006B660E" w:rsidRPr="009E1C98">
        <w:rPr>
          <w:sz w:val="28"/>
          <w:szCs w:val="28"/>
          <w:u w:val="single"/>
        </w:rPr>
        <w:t>changes</w:t>
      </w:r>
      <w:r w:rsidR="006B660E" w:rsidRPr="006B660E">
        <w:rPr>
          <w:sz w:val="28"/>
          <w:szCs w:val="28"/>
          <w:u w:val="single"/>
        </w:rPr>
        <w:t xml:space="preserve"> in student learning</w:t>
      </w:r>
    </w:p>
    <w:tbl>
      <w:tblPr>
        <w:tblStyle w:val="TableGrid"/>
        <w:tblpPr w:leftFromText="180" w:rightFromText="180" w:vertAnchor="text" w:horzAnchor="margin" w:tblpY="188"/>
        <w:tblW w:w="0" w:type="auto"/>
        <w:tblLayout w:type="fixed"/>
        <w:tblLook w:val="04A0" w:firstRow="1" w:lastRow="0" w:firstColumn="1" w:lastColumn="0" w:noHBand="0" w:noVBand="1"/>
      </w:tblPr>
      <w:tblGrid>
        <w:gridCol w:w="4745"/>
        <w:gridCol w:w="4745"/>
        <w:gridCol w:w="4745"/>
      </w:tblGrid>
      <w:tr w:rsidR="006256FC" w14:paraId="3336C3E8" w14:textId="77777777" w:rsidTr="00BF0ABE">
        <w:trPr>
          <w:trHeight w:val="6373"/>
        </w:trPr>
        <w:tc>
          <w:tcPr>
            <w:tcW w:w="4745" w:type="dxa"/>
          </w:tcPr>
          <w:p w14:paraId="0411388D" w14:textId="77777777" w:rsidR="006256FC" w:rsidRDefault="006256FC" w:rsidP="006256FC">
            <w:pPr>
              <w:pStyle w:val="ListParagraph"/>
              <w:framePr w:hSpace="0" w:wrap="auto" w:vAnchor="margin" w:hAnchor="text" w:yAlign="inline"/>
            </w:pPr>
            <w:r>
              <w:t>Continue implementing active-learning and “visual mathematics” approaches to instruction in all math courses</w:t>
            </w:r>
          </w:p>
          <w:p w14:paraId="4C39FA0C" w14:textId="77777777" w:rsidR="006256FC" w:rsidRDefault="006256FC" w:rsidP="006256FC">
            <w:pPr>
              <w:ind w:left="60"/>
            </w:pPr>
          </w:p>
          <w:p w14:paraId="23B3334B" w14:textId="77777777" w:rsidR="006256FC" w:rsidRDefault="006256FC" w:rsidP="006256FC">
            <w:pPr>
              <w:pStyle w:val="ListParagraph"/>
              <w:framePr w:hSpace="0" w:wrap="auto" w:vAnchor="margin" w:hAnchor="text" w:yAlign="inline"/>
            </w:pPr>
            <w:r>
              <w:t>Continue the implementation of  Inquiry-Based Learning (IBL) techniques where possible</w:t>
            </w:r>
          </w:p>
          <w:p w14:paraId="4A91FDA5" w14:textId="77777777" w:rsidR="006256FC" w:rsidRDefault="006256FC" w:rsidP="006256FC">
            <w:pPr>
              <w:ind w:left="60"/>
            </w:pPr>
          </w:p>
          <w:p w14:paraId="2CC39552" w14:textId="77777777" w:rsidR="006256FC" w:rsidRDefault="006256FC" w:rsidP="006256FC">
            <w:pPr>
              <w:pStyle w:val="ListParagraph"/>
              <w:framePr w:hSpace="0" w:wrap="auto" w:vAnchor="margin" w:hAnchor="text" w:yAlign="inline"/>
            </w:pPr>
            <w:r>
              <w:t>Establish a Math Resource Center</w:t>
            </w:r>
          </w:p>
          <w:p w14:paraId="246A868D" w14:textId="77777777" w:rsidR="006256FC" w:rsidRDefault="006256FC" w:rsidP="006256FC">
            <w:pPr>
              <w:ind w:left="60"/>
            </w:pPr>
          </w:p>
          <w:p w14:paraId="1D1C0DFF" w14:textId="77777777" w:rsidR="00DE34C1" w:rsidRDefault="00DE34C1" w:rsidP="006256FC">
            <w:pPr>
              <w:ind w:left="60"/>
            </w:pPr>
          </w:p>
          <w:p w14:paraId="523E3AED" w14:textId="77777777" w:rsidR="00DE34C1" w:rsidRDefault="00DE34C1" w:rsidP="006256FC">
            <w:pPr>
              <w:ind w:left="60"/>
            </w:pPr>
          </w:p>
          <w:p w14:paraId="7457CF2F" w14:textId="77777777" w:rsidR="00DE34C1" w:rsidRDefault="00DE34C1" w:rsidP="006256FC">
            <w:pPr>
              <w:ind w:left="60"/>
            </w:pPr>
          </w:p>
          <w:p w14:paraId="6CA57F4C" w14:textId="6330B808" w:rsidR="006256FC" w:rsidRDefault="006256FC" w:rsidP="006256FC">
            <w:pPr>
              <w:pStyle w:val="ListParagraph"/>
              <w:framePr w:hSpace="0" w:wrap="auto" w:vAnchor="margin" w:hAnchor="text" w:yAlign="inline"/>
            </w:pPr>
            <w:r w:rsidRPr="006256FC">
              <w:t>Hire a second mathematics professor</w:t>
            </w:r>
          </w:p>
          <w:p w14:paraId="08389B85" w14:textId="77777777" w:rsidR="00DE34C1" w:rsidRDefault="00DE34C1" w:rsidP="00DE34C1"/>
          <w:p w14:paraId="4678E601" w14:textId="77777777" w:rsidR="00DE34C1" w:rsidRDefault="00DE34C1" w:rsidP="00DE34C1"/>
          <w:p w14:paraId="0B1E2E5F" w14:textId="77777777" w:rsidR="00DE34C1" w:rsidRDefault="00DE34C1" w:rsidP="00DE34C1"/>
          <w:p w14:paraId="20545686" w14:textId="77777777" w:rsidR="00DE34C1" w:rsidRDefault="00DE34C1" w:rsidP="00DE34C1">
            <w:pPr>
              <w:pStyle w:val="ListParagraph"/>
              <w:framePr w:hSpace="0" w:wrap="auto" w:vAnchor="margin" w:hAnchor="text" w:yAlign="inline"/>
            </w:pPr>
            <w:r w:rsidRPr="00DE34C1">
              <w:t>Continue attempts to gain better insights into student weaknesses, particularly in the early courses taken by the general student population, by performing beginning of course and end of course assessments in order to identify specific areas for review on how they are taught</w:t>
            </w:r>
          </w:p>
          <w:p w14:paraId="48994705" w14:textId="77777777" w:rsidR="00DE34C1" w:rsidRPr="00DE34C1" w:rsidRDefault="00DE34C1" w:rsidP="00DE34C1">
            <w:pPr>
              <w:ind w:left="60"/>
            </w:pPr>
          </w:p>
          <w:p w14:paraId="7621B4D5" w14:textId="77777777" w:rsidR="00DE34C1" w:rsidRDefault="00DE34C1" w:rsidP="00DE34C1">
            <w:pPr>
              <w:pStyle w:val="ListParagraph"/>
              <w:framePr w:hSpace="0" w:wrap="auto" w:vAnchor="margin" w:hAnchor="text" w:yAlign="inline"/>
            </w:pPr>
            <w:r w:rsidRPr="00DE34C1">
              <w:t>Continue implementation of specific instructional methods designed to teach students how to do the mathematics required for theoretical math subjects rather than expecting students to learn how to “think mathematically” while they are in the midst of learning a new topic (e.g., number theory)</w:t>
            </w:r>
          </w:p>
          <w:p w14:paraId="06234120" w14:textId="77777777" w:rsidR="00DE34C1" w:rsidRDefault="00DE34C1" w:rsidP="00296720">
            <w:pPr>
              <w:ind w:left="60"/>
            </w:pPr>
          </w:p>
          <w:p w14:paraId="5E881B5C" w14:textId="495FAAA1" w:rsidR="00DE34C1" w:rsidRPr="00DE34C1" w:rsidRDefault="00DE34C1" w:rsidP="00296720">
            <w:pPr>
              <w:ind w:left="60"/>
            </w:pPr>
            <w:r w:rsidRPr="00DE34C1">
              <w:t xml:space="preserve"> </w:t>
            </w:r>
          </w:p>
          <w:p w14:paraId="2FA8A631" w14:textId="0BF943C5" w:rsidR="00DE34C1" w:rsidRDefault="00DE34C1" w:rsidP="00DE34C1">
            <w:pPr>
              <w:pStyle w:val="ListParagraph"/>
              <w:framePr w:hSpace="0" w:wrap="auto" w:vAnchor="margin" w:hAnchor="text" w:yAlign="inline"/>
            </w:pPr>
            <w:r w:rsidRPr="00DE34C1">
              <w:lastRenderedPageBreak/>
              <w:t>Change the two semesters of Physics courses to being Algebra-based rather than Calculus-based</w:t>
            </w:r>
          </w:p>
          <w:p w14:paraId="735577CF" w14:textId="77777777" w:rsidR="00296720" w:rsidRDefault="00296720" w:rsidP="00296720"/>
          <w:p w14:paraId="00F09A3E" w14:textId="77777777" w:rsidR="00296720" w:rsidRDefault="00296720" w:rsidP="00296720"/>
          <w:p w14:paraId="77CF5EE6" w14:textId="77777777" w:rsidR="00296720" w:rsidRDefault="00296720" w:rsidP="00296720"/>
          <w:p w14:paraId="50C95A09" w14:textId="77777777" w:rsidR="00296720" w:rsidRDefault="00296720" w:rsidP="00296720"/>
          <w:p w14:paraId="4743CA1C" w14:textId="77777777" w:rsidR="00296720" w:rsidRDefault="00296720" w:rsidP="00296720"/>
          <w:p w14:paraId="2ECC95FA" w14:textId="77777777" w:rsidR="00296720" w:rsidRDefault="00296720" w:rsidP="00296720"/>
          <w:p w14:paraId="68035129" w14:textId="77777777" w:rsidR="00296720" w:rsidRDefault="00296720" w:rsidP="00296720"/>
          <w:p w14:paraId="50898D31" w14:textId="77777777" w:rsidR="00296720" w:rsidRDefault="00296720" w:rsidP="00296720"/>
          <w:p w14:paraId="6C2D6F02" w14:textId="77777777" w:rsidR="00296720" w:rsidRDefault="00296720" w:rsidP="00296720"/>
          <w:p w14:paraId="30AAA4B7" w14:textId="77777777" w:rsidR="00296720" w:rsidRDefault="00296720" w:rsidP="00296720"/>
          <w:p w14:paraId="7C47DA55" w14:textId="77777777" w:rsidR="00296720" w:rsidRDefault="00296720" w:rsidP="00296720"/>
          <w:p w14:paraId="77B5F596" w14:textId="77777777" w:rsidR="00296720" w:rsidRPr="00296720" w:rsidRDefault="00296720" w:rsidP="00296720">
            <w:pPr>
              <w:pStyle w:val="ListParagraph"/>
              <w:framePr w:hSpace="0" w:wrap="auto" w:vAnchor="margin" w:hAnchor="text" w:yAlign="inline"/>
            </w:pPr>
            <w:r w:rsidRPr="00296720">
              <w:t>Identify select math tutors who are particularly good at this skill and have SASC focus their tutoring efforts on helping students learn to solve word problems</w:t>
            </w:r>
          </w:p>
          <w:p w14:paraId="29019CA5" w14:textId="77777777" w:rsidR="00296720" w:rsidRPr="00DE34C1" w:rsidRDefault="00296720" w:rsidP="00296720">
            <w:pPr>
              <w:pStyle w:val="ListParagraph"/>
              <w:framePr w:hSpace="0" w:wrap="auto" w:vAnchor="margin" w:hAnchor="text" w:yAlign="inline"/>
              <w:numPr>
                <w:ilvl w:val="0"/>
                <w:numId w:val="0"/>
              </w:numPr>
              <w:ind w:left="330"/>
            </w:pPr>
          </w:p>
          <w:p w14:paraId="3336C3E5" w14:textId="4FB2A834" w:rsidR="006256FC" w:rsidRDefault="006256FC" w:rsidP="006256FC">
            <w:pPr>
              <w:pStyle w:val="ListParagraph"/>
              <w:framePr w:hSpace="0" w:wrap="auto" w:vAnchor="margin" w:hAnchor="text" w:yAlign="inline"/>
              <w:numPr>
                <w:ilvl w:val="0"/>
                <w:numId w:val="0"/>
              </w:numPr>
              <w:ind w:left="330"/>
              <w:rPr>
                <w:sz w:val="28"/>
                <w:szCs w:val="28"/>
              </w:rPr>
            </w:pPr>
          </w:p>
        </w:tc>
        <w:tc>
          <w:tcPr>
            <w:tcW w:w="4745" w:type="dxa"/>
          </w:tcPr>
          <w:p w14:paraId="35302F52" w14:textId="77777777" w:rsidR="006256FC" w:rsidRDefault="006256FC" w:rsidP="006256FC">
            <w:pPr>
              <w:pStyle w:val="ListParagraph"/>
              <w:framePr w:hSpace="0" w:wrap="auto" w:vAnchor="margin" w:hAnchor="text" w:yAlign="inline"/>
            </w:pPr>
            <w:r>
              <w:lastRenderedPageBreak/>
              <w:t>This change is still in its implementation infancy</w:t>
            </w:r>
          </w:p>
          <w:p w14:paraId="1E6030C8" w14:textId="77777777" w:rsidR="00DE34C1" w:rsidRDefault="00DE34C1" w:rsidP="00DE34C1"/>
          <w:p w14:paraId="2460247C" w14:textId="77777777" w:rsidR="00DE34C1" w:rsidRDefault="00DE34C1" w:rsidP="00DE34C1"/>
          <w:p w14:paraId="0F79AAE6" w14:textId="77777777" w:rsidR="00DE34C1" w:rsidRDefault="00DE34C1" w:rsidP="006256FC">
            <w:pPr>
              <w:pStyle w:val="ListParagraph"/>
              <w:framePr w:hSpace="0" w:wrap="auto" w:vAnchor="margin" w:hAnchor="text" w:yAlign="inline"/>
            </w:pPr>
            <w:r>
              <w:t>IBL was added to MAT 225 and MAT 200 this academic year. Still needs to be expanded</w:t>
            </w:r>
          </w:p>
          <w:p w14:paraId="3E7F07CE" w14:textId="77777777" w:rsidR="00DE34C1" w:rsidRDefault="00DE34C1" w:rsidP="00DE34C1"/>
          <w:p w14:paraId="0F07CFA3" w14:textId="77777777" w:rsidR="00DE34C1" w:rsidRDefault="00DE34C1" w:rsidP="00DE34C1"/>
          <w:p w14:paraId="05AC9F3D" w14:textId="77777777" w:rsidR="00DE34C1" w:rsidRDefault="00DE34C1" w:rsidP="006256FC">
            <w:pPr>
              <w:pStyle w:val="ListParagraph"/>
              <w:framePr w:hSpace="0" w:wrap="auto" w:vAnchor="margin" w:hAnchor="text" w:yAlign="inline"/>
            </w:pPr>
            <w:r>
              <w:t>The Math Learning Resource Center (MLRC) was implemented in Fall 2022. Metrics to help determine its impact will be collected during the coming academic year</w:t>
            </w:r>
          </w:p>
          <w:p w14:paraId="3AFB5E00" w14:textId="77777777" w:rsidR="00DE34C1" w:rsidRDefault="00DE34C1" w:rsidP="00DE34C1">
            <w:pPr>
              <w:ind w:left="60"/>
            </w:pPr>
          </w:p>
          <w:p w14:paraId="311539D8" w14:textId="77777777" w:rsidR="00DE34C1" w:rsidRDefault="00DE34C1" w:rsidP="006256FC">
            <w:pPr>
              <w:pStyle w:val="ListParagraph"/>
              <w:framePr w:hSpace="0" w:wrap="auto" w:vAnchor="margin" w:hAnchor="text" w:yAlign="inline"/>
            </w:pPr>
            <w:r>
              <w:t>Second mathematics professor added in Fall 2022</w:t>
            </w:r>
          </w:p>
          <w:p w14:paraId="1CE9CCAA" w14:textId="77777777" w:rsidR="00DE34C1" w:rsidRDefault="00DE34C1" w:rsidP="00DE34C1">
            <w:pPr>
              <w:ind w:left="60"/>
            </w:pPr>
          </w:p>
          <w:p w14:paraId="09159B0C" w14:textId="77777777" w:rsidR="00DE34C1" w:rsidRDefault="00DE34C1" w:rsidP="00DE34C1">
            <w:pPr>
              <w:ind w:left="60"/>
            </w:pPr>
          </w:p>
          <w:p w14:paraId="1658F1CE" w14:textId="112CF685" w:rsidR="00DE34C1" w:rsidRDefault="00DE34C1" w:rsidP="00DE34C1">
            <w:pPr>
              <w:pStyle w:val="ListParagraph"/>
              <w:framePr w:hSpace="0" w:wrap="auto" w:vAnchor="margin" w:hAnchor="text" w:yAlign="inline"/>
            </w:pPr>
            <w:r>
              <w:t>Not yet implemented</w:t>
            </w:r>
          </w:p>
          <w:p w14:paraId="790D4687" w14:textId="77777777" w:rsidR="00DE34C1" w:rsidRDefault="00DE34C1" w:rsidP="00DE34C1"/>
          <w:p w14:paraId="56DF5446" w14:textId="77777777" w:rsidR="00DE34C1" w:rsidRDefault="00DE34C1" w:rsidP="00DE34C1"/>
          <w:p w14:paraId="2FCC8A38" w14:textId="77777777" w:rsidR="00DE34C1" w:rsidRDefault="00DE34C1" w:rsidP="00DE34C1"/>
          <w:p w14:paraId="13BCB353" w14:textId="77777777" w:rsidR="00DE34C1" w:rsidRDefault="00DE34C1" w:rsidP="00DE34C1"/>
          <w:p w14:paraId="0C9F9EF4" w14:textId="77777777" w:rsidR="00DE34C1" w:rsidRDefault="00DE34C1" w:rsidP="00DE34C1"/>
          <w:p w14:paraId="712A39FF" w14:textId="77777777" w:rsidR="00DE34C1" w:rsidRDefault="00DE34C1" w:rsidP="00DE34C1"/>
          <w:p w14:paraId="42E53A8C" w14:textId="77777777" w:rsidR="00DE34C1" w:rsidRDefault="00DE34C1" w:rsidP="00DE34C1"/>
          <w:p w14:paraId="446A9B5C" w14:textId="6B854B6E" w:rsidR="00DE34C1" w:rsidRDefault="00DE34C1" w:rsidP="00DE34C1">
            <w:pPr>
              <w:pStyle w:val="ListParagraph"/>
              <w:framePr w:hSpace="0" w:wrap="auto" w:vAnchor="margin" w:hAnchor="text" w:yAlign="inline"/>
            </w:pPr>
            <w:r>
              <w:t>To receive additional focus in AY 2023-2024</w:t>
            </w:r>
          </w:p>
          <w:p w14:paraId="1603C732" w14:textId="77777777" w:rsidR="00296720" w:rsidRDefault="00296720" w:rsidP="00296720"/>
          <w:p w14:paraId="61B8EF18" w14:textId="77777777" w:rsidR="00296720" w:rsidRDefault="00296720" w:rsidP="00296720"/>
          <w:p w14:paraId="75328AAB" w14:textId="77777777" w:rsidR="00296720" w:rsidRDefault="00296720" w:rsidP="00296720"/>
          <w:p w14:paraId="7EB6B8CB" w14:textId="77777777" w:rsidR="00296720" w:rsidRDefault="00296720" w:rsidP="00296720"/>
          <w:p w14:paraId="14CECE22" w14:textId="77777777" w:rsidR="00296720" w:rsidRDefault="00296720" w:rsidP="00296720"/>
          <w:p w14:paraId="4A18C0C0" w14:textId="77777777" w:rsidR="00296720" w:rsidRDefault="00296720" w:rsidP="00296720"/>
          <w:p w14:paraId="591C6043" w14:textId="77777777" w:rsidR="00296720" w:rsidRDefault="00296720" w:rsidP="00296720"/>
          <w:p w14:paraId="61D710B8" w14:textId="77777777" w:rsidR="00296720" w:rsidRDefault="00296720" w:rsidP="00296720"/>
          <w:p w14:paraId="40F223BB" w14:textId="5DC77F0A" w:rsidR="00296720" w:rsidRDefault="00296720" w:rsidP="00296720">
            <w:pPr>
              <w:pStyle w:val="ListParagraph"/>
              <w:framePr w:hSpace="0" w:wrap="auto" w:vAnchor="margin" w:hAnchor="text" w:yAlign="inline"/>
            </w:pPr>
            <w:r>
              <w:lastRenderedPageBreak/>
              <w:t>Change was implemented in AY 2022-2023</w:t>
            </w:r>
          </w:p>
          <w:p w14:paraId="02FCA691" w14:textId="3E78F5B2" w:rsidR="00296720" w:rsidRDefault="00296720" w:rsidP="00296720"/>
          <w:p w14:paraId="2609D014" w14:textId="77777777" w:rsidR="00296720" w:rsidRDefault="00296720" w:rsidP="00296720"/>
          <w:p w14:paraId="14673857" w14:textId="77777777" w:rsidR="00296720" w:rsidRDefault="00296720" w:rsidP="00296720"/>
          <w:p w14:paraId="47AC6EDC" w14:textId="77777777" w:rsidR="00296720" w:rsidRDefault="00296720" w:rsidP="00296720"/>
          <w:p w14:paraId="6E44EBCF" w14:textId="77777777" w:rsidR="00296720" w:rsidRDefault="00296720" w:rsidP="00296720"/>
          <w:p w14:paraId="4D0EF99E" w14:textId="77777777" w:rsidR="00296720" w:rsidRDefault="00296720" w:rsidP="00296720"/>
          <w:p w14:paraId="3788B284" w14:textId="77777777" w:rsidR="00296720" w:rsidRDefault="00296720" w:rsidP="00296720"/>
          <w:p w14:paraId="20C666A3" w14:textId="77777777" w:rsidR="00296720" w:rsidRDefault="00296720" w:rsidP="00296720"/>
          <w:p w14:paraId="4C328E8C" w14:textId="77777777" w:rsidR="00296720" w:rsidRDefault="00296720" w:rsidP="00296720"/>
          <w:p w14:paraId="13CA6E34" w14:textId="77777777" w:rsidR="00296720" w:rsidRDefault="00296720" w:rsidP="00296720"/>
          <w:p w14:paraId="0CA8FD57" w14:textId="77777777" w:rsidR="00296720" w:rsidRDefault="00296720" w:rsidP="00296720"/>
          <w:p w14:paraId="3BB00826" w14:textId="77777777" w:rsidR="00296720" w:rsidRDefault="00296720" w:rsidP="00296720"/>
          <w:p w14:paraId="78E7FD8C" w14:textId="77777777" w:rsidR="00296720" w:rsidRDefault="00296720" w:rsidP="00296720"/>
          <w:p w14:paraId="769E2251" w14:textId="1F87E40E" w:rsidR="00296720" w:rsidRDefault="00296720" w:rsidP="00296720">
            <w:pPr>
              <w:pStyle w:val="ListParagraph"/>
              <w:framePr w:hSpace="0" w:wrap="auto" w:vAnchor="margin" w:hAnchor="text" w:yAlign="inline"/>
            </w:pPr>
            <w:r>
              <w:t>This c</w:t>
            </w:r>
            <w:r w:rsidRPr="00296720">
              <w:t>hange was</w:t>
            </w:r>
            <w:r>
              <w:t xml:space="preserve"> not implemented due to inability of SASC to obtain adequate tutors</w:t>
            </w:r>
          </w:p>
          <w:p w14:paraId="3336C3E6" w14:textId="478D0E32" w:rsidR="00DE34C1" w:rsidRDefault="00DE34C1" w:rsidP="00DE34C1"/>
        </w:tc>
        <w:tc>
          <w:tcPr>
            <w:tcW w:w="4745" w:type="dxa"/>
          </w:tcPr>
          <w:p w14:paraId="5A20E390" w14:textId="77777777" w:rsidR="006256FC" w:rsidRDefault="006256FC" w:rsidP="006256FC">
            <w:pPr>
              <w:pStyle w:val="ListParagraph"/>
              <w:framePr w:hSpace="0" w:wrap="auto" w:vAnchor="margin" w:hAnchor="text" w:yAlign="inline"/>
            </w:pPr>
            <w:r>
              <w:lastRenderedPageBreak/>
              <w:t>No quantifiable evidence yet</w:t>
            </w:r>
          </w:p>
          <w:p w14:paraId="6CD8DCE5" w14:textId="77777777" w:rsidR="00DE34C1" w:rsidRDefault="00DE34C1" w:rsidP="00DE34C1"/>
          <w:p w14:paraId="2BD729D4" w14:textId="77777777" w:rsidR="00DE34C1" w:rsidRDefault="00DE34C1" w:rsidP="00DE34C1"/>
          <w:p w14:paraId="70F234F1" w14:textId="77777777" w:rsidR="00DE34C1" w:rsidRDefault="00DE34C1" w:rsidP="00DE34C1"/>
          <w:p w14:paraId="7D47143C" w14:textId="77777777" w:rsidR="00DE34C1" w:rsidRDefault="00DE34C1" w:rsidP="006256FC">
            <w:pPr>
              <w:pStyle w:val="ListParagraph"/>
              <w:framePr w:hSpace="0" w:wrap="auto" w:vAnchor="margin" w:hAnchor="text" w:yAlign="inline"/>
            </w:pPr>
            <w:r w:rsidRPr="00DE34C1">
              <w:t>No quantifiable evidence yet</w:t>
            </w:r>
          </w:p>
          <w:p w14:paraId="305FF025" w14:textId="77777777" w:rsidR="00DE34C1" w:rsidRDefault="00DE34C1" w:rsidP="00DE34C1"/>
          <w:p w14:paraId="76686FA4" w14:textId="77777777" w:rsidR="00DE34C1" w:rsidRDefault="00DE34C1" w:rsidP="00DE34C1"/>
          <w:p w14:paraId="6D63EE16" w14:textId="77777777" w:rsidR="00DE34C1" w:rsidRDefault="00DE34C1" w:rsidP="00DE34C1"/>
          <w:p w14:paraId="6E9F19FB" w14:textId="77777777" w:rsidR="00DE34C1" w:rsidRDefault="00DE34C1" w:rsidP="006256FC">
            <w:pPr>
              <w:pStyle w:val="ListParagraph"/>
              <w:framePr w:hSpace="0" w:wrap="auto" w:vAnchor="margin" w:hAnchor="text" w:yAlign="inline"/>
            </w:pPr>
            <w:r>
              <w:t>No metrics currently available</w:t>
            </w:r>
          </w:p>
          <w:p w14:paraId="303008FD" w14:textId="77777777" w:rsidR="00DE34C1" w:rsidRDefault="00DE34C1" w:rsidP="00DE34C1"/>
          <w:p w14:paraId="36F7DC6A" w14:textId="77777777" w:rsidR="00DE34C1" w:rsidRDefault="00DE34C1" w:rsidP="00DE34C1"/>
          <w:p w14:paraId="0399A313" w14:textId="77777777" w:rsidR="00DE34C1" w:rsidRDefault="00DE34C1" w:rsidP="00DE34C1"/>
          <w:p w14:paraId="1DEB619E" w14:textId="77777777" w:rsidR="00DE34C1" w:rsidRDefault="00DE34C1" w:rsidP="00DE34C1"/>
          <w:p w14:paraId="3697BE35" w14:textId="77777777" w:rsidR="00DE34C1" w:rsidRDefault="00DE34C1" w:rsidP="006256FC">
            <w:pPr>
              <w:pStyle w:val="ListParagraph"/>
              <w:framePr w:hSpace="0" w:wrap="auto" w:vAnchor="margin" w:hAnchor="text" w:yAlign="inline"/>
            </w:pPr>
            <w:r>
              <w:t>Additional professor has allowed for more detailed development of MAT 112 and MAT 115. Some changes in incorporation of on-line facilities are planned for AY 2023-2024</w:t>
            </w:r>
          </w:p>
          <w:p w14:paraId="4AE2D41B" w14:textId="77777777" w:rsidR="00DE34C1" w:rsidRDefault="00DE34C1" w:rsidP="00DE34C1"/>
          <w:p w14:paraId="6F15A391" w14:textId="77777777" w:rsidR="00DE34C1" w:rsidRDefault="00DE34C1" w:rsidP="00DE34C1"/>
          <w:p w14:paraId="684F8970" w14:textId="77777777" w:rsidR="00DE34C1" w:rsidRDefault="00DE34C1" w:rsidP="00DE34C1"/>
          <w:p w14:paraId="335FB6FF" w14:textId="77777777" w:rsidR="00DE34C1" w:rsidRDefault="00DE34C1" w:rsidP="00DE34C1"/>
          <w:p w14:paraId="5978FC89" w14:textId="77777777" w:rsidR="00DE34C1" w:rsidRDefault="00DE34C1" w:rsidP="00DE34C1"/>
          <w:p w14:paraId="030FF030" w14:textId="77777777" w:rsidR="00DE34C1" w:rsidRDefault="00DE34C1" w:rsidP="00DE34C1"/>
          <w:p w14:paraId="236D8A3B" w14:textId="77777777" w:rsidR="00DE34C1" w:rsidRDefault="00DE34C1" w:rsidP="00DE34C1"/>
          <w:p w14:paraId="4FDFD913" w14:textId="77777777" w:rsidR="00DE34C1" w:rsidRDefault="00DE34C1" w:rsidP="00DE34C1"/>
          <w:p w14:paraId="690224B9" w14:textId="77777777" w:rsidR="00296720" w:rsidRDefault="00DE34C1" w:rsidP="00296720">
            <w:pPr>
              <w:pStyle w:val="ListParagraph"/>
              <w:framePr w:hSpace="0" w:wrap="auto" w:vAnchor="margin" w:hAnchor="text" w:yAlign="inline"/>
            </w:pPr>
            <w:r w:rsidRPr="00DE34C1">
              <w:t>No quantifiable evidence yet</w:t>
            </w:r>
          </w:p>
          <w:p w14:paraId="1247C5D8" w14:textId="77777777" w:rsidR="00296720" w:rsidRDefault="00296720" w:rsidP="00296720"/>
          <w:p w14:paraId="667DB3E0" w14:textId="77777777" w:rsidR="00296720" w:rsidRDefault="00296720" w:rsidP="00296720"/>
          <w:p w14:paraId="7F6A925B" w14:textId="77777777" w:rsidR="00296720" w:rsidRDefault="00296720" w:rsidP="00296720"/>
          <w:p w14:paraId="367DA22C" w14:textId="77777777" w:rsidR="00296720" w:rsidRDefault="00296720" w:rsidP="00296720"/>
          <w:p w14:paraId="0CC3483B" w14:textId="77777777" w:rsidR="00296720" w:rsidRDefault="00296720" w:rsidP="00296720"/>
          <w:p w14:paraId="3AB6B588" w14:textId="77777777" w:rsidR="00296720" w:rsidRDefault="00296720" w:rsidP="00296720"/>
          <w:p w14:paraId="0E5F01CB" w14:textId="77777777" w:rsidR="00296720" w:rsidRDefault="00296720" w:rsidP="00296720"/>
          <w:p w14:paraId="6DD484FC" w14:textId="77777777" w:rsidR="00296720" w:rsidRDefault="00296720" w:rsidP="00296720"/>
          <w:p w14:paraId="3336C3E7" w14:textId="3C859696" w:rsidR="00DE34C1" w:rsidRDefault="00296720" w:rsidP="00296720">
            <w:pPr>
              <w:pStyle w:val="ListParagraph"/>
              <w:framePr w:hSpace="0" w:wrap="auto" w:vAnchor="margin" w:hAnchor="text" w:yAlign="inline"/>
            </w:pPr>
            <w:r>
              <w:lastRenderedPageBreak/>
              <w:t>The number of students in Physics is so small as to preclude drawing quantifiable results. However, it appeared this year that students grasped some of the Physics concepts more readily when the Calculus approach was changed to an Algebraic approach. The downside is that, without Calculus, students are occasionally asked to take results on faith rather than being able to see all of the rigor behind development of the results. In a first-year Physics course, this is likely not a bad thing.</w:t>
            </w:r>
          </w:p>
        </w:tc>
      </w:tr>
    </w:tbl>
    <w:p w14:paraId="3336C3E9" w14:textId="77777777" w:rsidR="00D7531A" w:rsidRPr="006B660E" w:rsidRDefault="00D7531A" w:rsidP="00BF0ABE">
      <w:pPr>
        <w:rPr>
          <w:sz w:val="28"/>
          <w:szCs w:val="28"/>
        </w:rPr>
      </w:pPr>
    </w:p>
    <w:sectPr w:rsidR="00D7531A" w:rsidRPr="006B660E" w:rsidSect="008031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8C2"/>
    <w:multiLevelType w:val="hybridMultilevel"/>
    <w:tmpl w:val="A43A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3562E"/>
    <w:multiLevelType w:val="hybridMultilevel"/>
    <w:tmpl w:val="F00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21C7"/>
    <w:multiLevelType w:val="hybridMultilevel"/>
    <w:tmpl w:val="7A38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11D1A"/>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7467B"/>
    <w:multiLevelType w:val="hybridMultilevel"/>
    <w:tmpl w:val="C332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2627D"/>
    <w:multiLevelType w:val="hybridMultilevel"/>
    <w:tmpl w:val="ED98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90F39"/>
    <w:multiLevelType w:val="hybridMultilevel"/>
    <w:tmpl w:val="FB4E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711AD"/>
    <w:multiLevelType w:val="hybridMultilevel"/>
    <w:tmpl w:val="7B2A6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031E5"/>
    <w:multiLevelType w:val="hybridMultilevel"/>
    <w:tmpl w:val="A3F4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A0BC7"/>
    <w:multiLevelType w:val="hybridMultilevel"/>
    <w:tmpl w:val="00A0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77449"/>
    <w:multiLevelType w:val="hybridMultilevel"/>
    <w:tmpl w:val="5A4C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5508C"/>
    <w:multiLevelType w:val="hybridMultilevel"/>
    <w:tmpl w:val="2438E8CC"/>
    <w:lvl w:ilvl="0" w:tplc="6DA4A0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5680B"/>
    <w:multiLevelType w:val="hybridMultilevel"/>
    <w:tmpl w:val="C1DC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A3E26"/>
    <w:multiLevelType w:val="hybridMultilevel"/>
    <w:tmpl w:val="32461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9588C"/>
    <w:multiLevelType w:val="hybridMultilevel"/>
    <w:tmpl w:val="7334FAEC"/>
    <w:lvl w:ilvl="0" w:tplc="B64E810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DC11F6"/>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F1F"/>
    <w:multiLevelType w:val="hybridMultilevel"/>
    <w:tmpl w:val="0B62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10C91"/>
    <w:multiLevelType w:val="hybridMultilevel"/>
    <w:tmpl w:val="BA3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6504C"/>
    <w:multiLevelType w:val="hybridMultilevel"/>
    <w:tmpl w:val="B952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30189"/>
    <w:multiLevelType w:val="hybridMultilevel"/>
    <w:tmpl w:val="E434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D07AA"/>
    <w:multiLevelType w:val="hybridMultilevel"/>
    <w:tmpl w:val="343E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65B72"/>
    <w:multiLevelType w:val="hybridMultilevel"/>
    <w:tmpl w:val="C3345C5A"/>
    <w:lvl w:ilvl="0" w:tplc="B880B2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966EBF"/>
    <w:multiLevelType w:val="hybridMultilevel"/>
    <w:tmpl w:val="6F7E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718877">
    <w:abstractNumId w:val="14"/>
  </w:num>
  <w:num w:numId="2" w16cid:durableId="1893425433">
    <w:abstractNumId w:val="21"/>
  </w:num>
  <w:num w:numId="3" w16cid:durableId="729113613">
    <w:abstractNumId w:val="19"/>
  </w:num>
  <w:num w:numId="4" w16cid:durableId="1918783348">
    <w:abstractNumId w:val="13"/>
  </w:num>
  <w:num w:numId="5" w16cid:durableId="196699614">
    <w:abstractNumId w:val="4"/>
  </w:num>
  <w:num w:numId="6" w16cid:durableId="563682481">
    <w:abstractNumId w:val="5"/>
  </w:num>
  <w:num w:numId="7" w16cid:durableId="367995261">
    <w:abstractNumId w:val="16"/>
  </w:num>
  <w:num w:numId="8" w16cid:durableId="940911387">
    <w:abstractNumId w:val="0"/>
  </w:num>
  <w:num w:numId="9" w16cid:durableId="1830050890">
    <w:abstractNumId w:val="6"/>
  </w:num>
  <w:num w:numId="10" w16cid:durableId="587151560">
    <w:abstractNumId w:val="10"/>
  </w:num>
  <w:num w:numId="11" w16cid:durableId="1957784044">
    <w:abstractNumId w:val="15"/>
  </w:num>
  <w:num w:numId="12" w16cid:durableId="1157961549">
    <w:abstractNumId w:val="1"/>
  </w:num>
  <w:num w:numId="13" w16cid:durableId="993491993">
    <w:abstractNumId w:val="17"/>
  </w:num>
  <w:num w:numId="14" w16cid:durableId="1122572094">
    <w:abstractNumId w:val="8"/>
  </w:num>
  <w:num w:numId="15" w16cid:durableId="1987078100">
    <w:abstractNumId w:val="12"/>
  </w:num>
  <w:num w:numId="16" w16cid:durableId="1082870683">
    <w:abstractNumId w:val="3"/>
  </w:num>
  <w:num w:numId="17" w16cid:durableId="263152494">
    <w:abstractNumId w:val="22"/>
  </w:num>
  <w:num w:numId="18" w16cid:durableId="606502811">
    <w:abstractNumId w:val="2"/>
  </w:num>
  <w:num w:numId="19" w16cid:durableId="1557203740">
    <w:abstractNumId w:val="18"/>
  </w:num>
  <w:num w:numId="20" w16cid:durableId="124392358">
    <w:abstractNumId w:val="11"/>
  </w:num>
  <w:num w:numId="21" w16cid:durableId="25957001">
    <w:abstractNumId w:val="9"/>
  </w:num>
  <w:num w:numId="22" w16cid:durableId="1689984908">
    <w:abstractNumId w:val="20"/>
  </w:num>
  <w:num w:numId="23" w16cid:durableId="1818066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jCwMDCwNDe1MDJQ0lEKTi0uzszPAykwqgUApcVNFSwAAAA="/>
  </w:docVars>
  <w:rsids>
    <w:rsidRoot w:val="00E173EC"/>
    <w:rsid w:val="0000097D"/>
    <w:rsid w:val="00082FEA"/>
    <w:rsid w:val="000B340F"/>
    <w:rsid w:val="000D15BE"/>
    <w:rsid w:val="00112736"/>
    <w:rsid w:val="00171C63"/>
    <w:rsid w:val="00195087"/>
    <w:rsid w:val="001D5EB7"/>
    <w:rsid w:val="002440A9"/>
    <w:rsid w:val="002757B7"/>
    <w:rsid w:val="00296720"/>
    <w:rsid w:val="002B06AD"/>
    <w:rsid w:val="002C18A2"/>
    <w:rsid w:val="002F6592"/>
    <w:rsid w:val="00343D7C"/>
    <w:rsid w:val="00390063"/>
    <w:rsid w:val="0039540C"/>
    <w:rsid w:val="003D56B2"/>
    <w:rsid w:val="00421C33"/>
    <w:rsid w:val="00456191"/>
    <w:rsid w:val="00472147"/>
    <w:rsid w:val="004A5724"/>
    <w:rsid w:val="004C1048"/>
    <w:rsid w:val="004C12D5"/>
    <w:rsid w:val="004F0B58"/>
    <w:rsid w:val="00500E19"/>
    <w:rsid w:val="00520E72"/>
    <w:rsid w:val="00533F94"/>
    <w:rsid w:val="0056352B"/>
    <w:rsid w:val="005B131E"/>
    <w:rsid w:val="00603132"/>
    <w:rsid w:val="00614832"/>
    <w:rsid w:val="006256FC"/>
    <w:rsid w:val="0063043B"/>
    <w:rsid w:val="0064360D"/>
    <w:rsid w:val="0066059A"/>
    <w:rsid w:val="00664DA0"/>
    <w:rsid w:val="006B660E"/>
    <w:rsid w:val="006C52EE"/>
    <w:rsid w:val="006D3048"/>
    <w:rsid w:val="00724EDC"/>
    <w:rsid w:val="00731A47"/>
    <w:rsid w:val="00732E5E"/>
    <w:rsid w:val="007950DF"/>
    <w:rsid w:val="007B37A0"/>
    <w:rsid w:val="007F34EA"/>
    <w:rsid w:val="0080310F"/>
    <w:rsid w:val="008343E4"/>
    <w:rsid w:val="00855A08"/>
    <w:rsid w:val="008745B8"/>
    <w:rsid w:val="008857AD"/>
    <w:rsid w:val="008B2780"/>
    <w:rsid w:val="008B5528"/>
    <w:rsid w:val="008D06FB"/>
    <w:rsid w:val="008D127E"/>
    <w:rsid w:val="008E4114"/>
    <w:rsid w:val="0091472C"/>
    <w:rsid w:val="0093369C"/>
    <w:rsid w:val="00945D96"/>
    <w:rsid w:val="00953582"/>
    <w:rsid w:val="009541D2"/>
    <w:rsid w:val="009548DA"/>
    <w:rsid w:val="009733D4"/>
    <w:rsid w:val="009A453E"/>
    <w:rsid w:val="009A65AA"/>
    <w:rsid w:val="009D3476"/>
    <w:rsid w:val="009E1C98"/>
    <w:rsid w:val="00A40760"/>
    <w:rsid w:val="00A41809"/>
    <w:rsid w:val="00A82191"/>
    <w:rsid w:val="00AD2B84"/>
    <w:rsid w:val="00AE7A31"/>
    <w:rsid w:val="00B0142C"/>
    <w:rsid w:val="00B061D4"/>
    <w:rsid w:val="00B274C2"/>
    <w:rsid w:val="00B43D93"/>
    <w:rsid w:val="00B510CF"/>
    <w:rsid w:val="00B83ACE"/>
    <w:rsid w:val="00BA010C"/>
    <w:rsid w:val="00BA558A"/>
    <w:rsid w:val="00BC4634"/>
    <w:rsid w:val="00BD7139"/>
    <w:rsid w:val="00BF041D"/>
    <w:rsid w:val="00BF0ABE"/>
    <w:rsid w:val="00BF3A72"/>
    <w:rsid w:val="00BF50C9"/>
    <w:rsid w:val="00C03F1E"/>
    <w:rsid w:val="00C21BE8"/>
    <w:rsid w:val="00C375D2"/>
    <w:rsid w:val="00C45783"/>
    <w:rsid w:val="00C7747B"/>
    <w:rsid w:val="00C90D74"/>
    <w:rsid w:val="00CF4710"/>
    <w:rsid w:val="00D64E88"/>
    <w:rsid w:val="00D709A0"/>
    <w:rsid w:val="00D72220"/>
    <w:rsid w:val="00D7531A"/>
    <w:rsid w:val="00D80FB2"/>
    <w:rsid w:val="00D95B40"/>
    <w:rsid w:val="00D9688C"/>
    <w:rsid w:val="00DC7FBA"/>
    <w:rsid w:val="00DE17F5"/>
    <w:rsid w:val="00DE34C1"/>
    <w:rsid w:val="00E173EC"/>
    <w:rsid w:val="00E5228D"/>
    <w:rsid w:val="00E53A1C"/>
    <w:rsid w:val="00E54062"/>
    <w:rsid w:val="00E558F9"/>
    <w:rsid w:val="00E83495"/>
    <w:rsid w:val="00E90447"/>
    <w:rsid w:val="00EB1F0F"/>
    <w:rsid w:val="00ED019D"/>
    <w:rsid w:val="00EE5D11"/>
    <w:rsid w:val="00F04496"/>
    <w:rsid w:val="00F15673"/>
    <w:rsid w:val="00F2371F"/>
    <w:rsid w:val="00F25BB9"/>
    <w:rsid w:val="00F63077"/>
    <w:rsid w:val="00F83118"/>
    <w:rsid w:val="00FC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C3B3"/>
  <w15:docId w15:val="{B3BF6BF7-2E80-4F2B-898E-5E73076E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54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C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2147"/>
    <w:rPr>
      <w:color w:val="808080"/>
    </w:rPr>
  </w:style>
  <w:style w:type="paragraph" w:styleId="BalloonText">
    <w:name w:val="Balloon Text"/>
    <w:basedOn w:val="Normal"/>
    <w:link w:val="BalloonTextChar"/>
    <w:uiPriority w:val="99"/>
    <w:semiHidden/>
    <w:unhideWhenUsed/>
    <w:rsid w:val="0047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7"/>
    <w:rPr>
      <w:rFonts w:ascii="Tahoma" w:hAnsi="Tahoma" w:cs="Tahoma"/>
      <w:sz w:val="16"/>
      <w:szCs w:val="16"/>
    </w:rPr>
  </w:style>
  <w:style w:type="paragraph" w:styleId="ListParagraph">
    <w:name w:val="List Paragraph"/>
    <w:basedOn w:val="Normal"/>
    <w:uiPriority w:val="34"/>
    <w:qFormat/>
    <w:rsid w:val="00F63077"/>
    <w:pPr>
      <w:framePr w:hSpace="180" w:wrap="around" w:vAnchor="text" w:hAnchor="margin" w:y="360"/>
      <w:numPr>
        <w:numId w:val="20"/>
      </w:numPr>
      <w:spacing w:after="0" w:line="240" w:lineRule="auto"/>
      <w:ind w:left="330" w:hanging="27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cleagt\Dropbox\Draft%20Template%20Major%20Assess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75A21020DB46A7B2FBD5CC5CC78C8E"/>
        <w:category>
          <w:name w:val="General"/>
          <w:gallery w:val="placeholder"/>
        </w:category>
        <w:types>
          <w:type w:val="bbPlcHdr"/>
        </w:types>
        <w:behaviors>
          <w:behavior w:val="content"/>
        </w:behaviors>
        <w:guid w:val="{1A8C570D-2792-4B69-B8C3-8256CE4142F0}"/>
      </w:docPartPr>
      <w:docPartBody>
        <w:p w:rsidR="003923B1" w:rsidRDefault="007132C2">
          <w:pPr>
            <w:pStyle w:val="DB75A21020DB46A7B2FBD5CC5CC78C8E"/>
          </w:pPr>
          <w:r>
            <w:rPr>
              <w:rStyle w:val="PlaceholderText"/>
            </w:rPr>
            <w:t>Cli</w:t>
          </w:r>
          <w:r w:rsidRPr="00715189">
            <w:rPr>
              <w:rStyle w:val="PlaceholderText"/>
            </w:rPr>
            <w:t>ck here to enter text.</w:t>
          </w:r>
        </w:p>
      </w:docPartBody>
    </w:docPart>
    <w:docPart>
      <w:docPartPr>
        <w:name w:val="64D061B240CF4D7FADF8F0BBDA1E42AA"/>
        <w:category>
          <w:name w:val="General"/>
          <w:gallery w:val="placeholder"/>
        </w:category>
        <w:types>
          <w:type w:val="bbPlcHdr"/>
        </w:types>
        <w:behaviors>
          <w:behavior w:val="content"/>
        </w:behaviors>
        <w:guid w:val="{04817014-AD11-490F-ACFB-A316735CDED2}"/>
      </w:docPartPr>
      <w:docPartBody>
        <w:p w:rsidR="003923B1" w:rsidRDefault="007132C2">
          <w:pPr>
            <w:pStyle w:val="64D061B240CF4D7FADF8F0BBDA1E42AA"/>
          </w:pPr>
          <w:r w:rsidRPr="00715189">
            <w:rPr>
              <w:rStyle w:val="PlaceholderText"/>
            </w:rPr>
            <w:t>Click here to enter text.</w:t>
          </w:r>
        </w:p>
      </w:docPartBody>
    </w:docPart>
    <w:docPart>
      <w:docPartPr>
        <w:name w:val="DFEB026365CB4BD88C5D39B9A3D73565"/>
        <w:category>
          <w:name w:val="General"/>
          <w:gallery w:val="placeholder"/>
        </w:category>
        <w:types>
          <w:type w:val="bbPlcHdr"/>
        </w:types>
        <w:behaviors>
          <w:behavior w:val="content"/>
        </w:behaviors>
        <w:guid w:val="{E9BEE176-F0EF-423C-A19D-D7C0A0D25ED4}"/>
      </w:docPartPr>
      <w:docPartBody>
        <w:p w:rsidR="003923B1" w:rsidRDefault="007132C2">
          <w:pPr>
            <w:pStyle w:val="DFEB026365CB4BD88C5D39B9A3D73565"/>
          </w:pPr>
          <w:r w:rsidRPr="00715189">
            <w:rPr>
              <w:rStyle w:val="PlaceholderText"/>
            </w:rPr>
            <w:t>Click here to enter text.</w:t>
          </w:r>
        </w:p>
      </w:docPartBody>
    </w:docPart>
    <w:docPart>
      <w:docPartPr>
        <w:name w:val="AEF9AF8D4C124C398AF2E6E36B5AFC6C"/>
        <w:category>
          <w:name w:val="General"/>
          <w:gallery w:val="placeholder"/>
        </w:category>
        <w:types>
          <w:type w:val="bbPlcHdr"/>
        </w:types>
        <w:behaviors>
          <w:behavior w:val="content"/>
        </w:behaviors>
        <w:guid w:val="{15DB3241-7E2F-4349-8F81-CC470ACDB0CB}"/>
      </w:docPartPr>
      <w:docPartBody>
        <w:p w:rsidR="00FE79AA" w:rsidRDefault="00BC01D8" w:rsidP="00BC01D8">
          <w:pPr>
            <w:pStyle w:val="AEF9AF8D4C124C398AF2E6E36B5AFC6C"/>
          </w:pPr>
          <w:r>
            <w:rPr>
              <w:rStyle w:val="PlaceholderText"/>
            </w:rPr>
            <w:t>Cli</w:t>
          </w:r>
          <w:r w:rsidRPr="00715189">
            <w:rPr>
              <w:rStyle w:val="PlaceholderText"/>
            </w:rPr>
            <w:t>ck here to enter text.</w:t>
          </w:r>
        </w:p>
      </w:docPartBody>
    </w:docPart>
    <w:docPart>
      <w:docPartPr>
        <w:name w:val="157628AF6B884D2FA61FA75E5B819D48"/>
        <w:category>
          <w:name w:val="General"/>
          <w:gallery w:val="placeholder"/>
        </w:category>
        <w:types>
          <w:type w:val="bbPlcHdr"/>
        </w:types>
        <w:behaviors>
          <w:behavior w:val="content"/>
        </w:behaviors>
        <w:guid w:val="{5EE19ECD-043E-4DA3-826C-540093CA7068}"/>
      </w:docPartPr>
      <w:docPartBody>
        <w:p w:rsidR="00FE79AA" w:rsidRDefault="00BC01D8" w:rsidP="00BC01D8">
          <w:pPr>
            <w:pStyle w:val="157628AF6B884D2FA61FA75E5B819D48"/>
          </w:pPr>
          <w:r>
            <w:rPr>
              <w:rStyle w:val="PlaceholderText"/>
            </w:rPr>
            <w:t>Cli</w:t>
          </w:r>
          <w:r w:rsidRPr="00715189">
            <w:rPr>
              <w:rStyle w:val="PlaceholderText"/>
            </w:rPr>
            <w:t>ck here to enter text.</w:t>
          </w:r>
        </w:p>
      </w:docPartBody>
    </w:docPart>
    <w:docPart>
      <w:docPartPr>
        <w:name w:val="17C6FFF61167439DA3B6D552D7C55524"/>
        <w:category>
          <w:name w:val="General"/>
          <w:gallery w:val="placeholder"/>
        </w:category>
        <w:types>
          <w:type w:val="bbPlcHdr"/>
        </w:types>
        <w:behaviors>
          <w:behavior w:val="content"/>
        </w:behaviors>
        <w:guid w:val="{1BE716A2-206A-4C61-8416-2317AB93C5D3}"/>
      </w:docPartPr>
      <w:docPartBody>
        <w:p w:rsidR="00FE79AA" w:rsidRDefault="00BC01D8" w:rsidP="00BC01D8">
          <w:pPr>
            <w:pStyle w:val="17C6FFF61167439DA3B6D552D7C55524"/>
          </w:pPr>
          <w:r>
            <w:rPr>
              <w:rStyle w:val="PlaceholderText"/>
            </w:rPr>
            <w:t>Cli</w:t>
          </w:r>
          <w:r w:rsidRPr="00715189">
            <w:rPr>
              <w:rStyle w:val="PlaceholderText"/>
            </w:rPr>
            <w:t>ck here to enter text.</w:t>
          </w:r>
        </w:p>
      </w:docPartBody>
    </w:docPart>
    <w:docPart>
      <w:docPartPr>
        <w:name w:val="8E06C0D0292B4AF99BB15B187C60695A"/>
        <w:category>
          <w:name w:val="General"/>
          <w:gallery w:val="placeholder"/>
        </w:category>
        <w:types>
          <w:type w:val="bbPlcHdr"/>
        </w:types>
        <w:behaviors>
          <w:behavior w:val="content"/>
        </w:behaviors>
        <w:guid w:val="{F8221D6F-0AA2-43C8-9A46-0F8BA4676DCE}"/>
      </w:docPartPr>
      <w:docPartBody>
        <w:p w:rsidR="00FE79AA" w:rsidRDefault="00BC01D8" w:rsidP="00BC01D8">
          <w:pPr>
            <w:pStyle w:val="8E06C0D0292B4AF99BB15B187C60695A"/>
          </w:pPr>
          <w:r>
            <w:rPr>
              <w:rStyle w:val="PlaceholderText"/>
            </w:rPr>
            <w:t>Cli</w:t>
          </w:r>
          <w:r w:rsidRPr="00715189">
            <w:rPr>
              <w:rStyle w:val="PlaceholderText"/>
            </w:rPr>
            <w:t>ck here to enter text.</w:t>
          </w:r>
        </w:p>
      </w:docPartBody>
    </w:docPart>
    <w:docPart>
      <w:docPartPr>
        <w:name w:val="3F7B6B113D4D4561A5D5742897239DA1"/>
        <w:category>
          <w:name w:val="General"/>
          <w:gallery w:val="placeholder"/>
        </w:category>
        <w:types>
          <w:type w:val="bbPlcHdr"/>
        </w:types>
        <w:behaviors>
          <w:behavior w:val="content"/>
        </w:behaviors>
        <w:guid w:val="{50203995-661F-44BC-B445-2286A31AF6BB}"/>
      </w:docPartPr>
      <w:docPartBody>
        <w:p w:rsidR="00FE79AA" w:rsidRDefault="00BC01D8" w:rsidP="00BC01D8">
          <w:pPr>
            <w:pStyle w:val="3F7B6B113D4D4561A5D5742897239DA1"/>
          </w:pPr>
          <w:r>
            <w:rPr>
              <w:rStyle w:val="PlaceholderText"/>
            </w:rPr>
            <w:t>Cli</w:t>
          </w:r>
          <w:r w:rsidRPr="00715189">
            <w:rPr>
              <w:rStyle w:val="PlaceholderText"/>
            </w:rPr>
            <w:t>ck here to enter text.</w:t>
          </w:r>
        </w:p>
      </w:docPartBody>
    </w:docPart>
    <w:docPart>
      <w:docPartPr>
        <w:name w:val="1A28BCB0D6184300ADD3D804DC296229"/>
        <w:category>
          <w:name w:val="General"/>
          <w:gallery w:val="placeholder"/>
        </w:category>
        <w:types>
          <w:type w:val="bbPlcHdr"/>
        </w:types>
        <w:behaviors>
          <w:behavior w:val="content"/>
        </w:behaviors>
        <w:guid w:val="{49986C21-DA6F-4F0D-95EE-5E69AE7FE732}"/>
      </w:docPartPr>
      <w:docPartBody>
        <w:p w:rsidR="00FE79AA" w:rsidRDefault="00BC01D8" w:rsidP="00BC01D8">
          <w:pPr>
            <w:pStyle w:val="1A28BCB0D6184300ADD3D804DC296229"/>
          </w:pPr>
          <w:r>
            <w:rPr>
              <w:rStyle w:val="PlaceholderText"/>
            </w:rPr>
            <w:t>Cli</w:t>
          </w:r>
          <w:r w:rsidRPr="00715189">
            <w:rPr>
              <w:rStyle w:val="PlaceholderText"/>
            </w:rPr>
            <w:t>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32C2"/>
    <w:rsid w:val="000C2E53"/>
    <w:rsid w:val="00141601"/>
    <w:rsid w:val="001C3D1B"/>
    <w:rsid w:val="0021573B"/>
    <w:rsid w:val="003923B1"/>
    <w:rsid w:val="00463864"/>
    <w:rsid w:val="004D3898"/>
    <w:rsid w:val="004D4EB0"/>
    <w:rsid w:val="005B094F"/>
    <w:rsid w:val="006004F8"/>
    <w:rsid w:val="00634483"/>
    <w:rsid w:val="006665DA"/>
    <w:rsid w:val="007132C2"/>
    <w:rsid w:val="00777221"/>
    <w:rsid w:val="00781086"/>
    <w:rsid w:val="00882858"/>
    <w:rsid w:val="00982BD2"/>
    <w:rsid w:val="00B5617C"/>
    <w:rsid w:val="00BC01D8"/>
    <w:rsid w:val="00C05F6B"/>
    <w:rsid w:val="00D74D8D"/>
    <w:rsid w:val="00DC0E0C"/>
    <w:rsid w:val="00DC15CB"/>
    <w:rsid w:val="00EA7249"/>
    <w:rsid w:val="00EA7B40"/>
    <w:rsid w:val="00EB0A56"/>
    <w:rsid w:val="00EF34B9"/>
    <w:rsid w:val="00FE2B0B"/>
    <w:rsid w:val="00FE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1D8"/>
    <w:rPr>
      <w:color w:val="808080"/>
    </w:rPr>
  </w:style>
  <w:style w:type="paragraph" w:customStyle="1" w:styleId="DB75A21020DB46A7B2FBD5CC5CC78C8E">
    <w:name w:val="DB75A21020DB46A7B2FBD5CC5CC78C8E"/>
    <w:rsid w:val="006665DA"/>
  </w:style>
  <w:style w:type="paragraph" w:customStyle="1" w:styleId="64D061B240CF4D7FADF8F0BBDA1E42AA">
    <w:name w:val="64D061B240CF4D7FADF8F0BBDA1E42AA"/>
    <w:rsid w:val="006665DA"/>
  </w:style>
  <w:style w:type="paragraph" w:customStyle="1" w:styleId="DFEB026365CB4BD88C5D39B9A3D73565">
    <w:name w:val="DFEB026365CB4BD88C5D39B9A3D73565"/>
    <w:rsid w:val="006665DA"/>
  </w:style>
  <w:style w:type="paragraph" w:customStyle="1" w:styleId="AEF9AF8D4C124C398AF2E6E36B5AFC6C">
    <w:name w:val="AEF9AF8D4C124C398AF2E6E36B5AFC6C"/>
    <w:rsid w:val="00BC01D8"/>
    <w:pPr>
      <w:spacing w:after="160" w:line="259" w:lineRule="auto"/>
    </w:pPr>
    <w:rPr>
      <w:kern w:val="2"/>
      <w14:ligatures w14:val="standardContextual"/>
    </w:rPr>
  </w:style>
  <w:style w:type="paragraph" w:customStyle="1" w:styleId="157628AF6B884D2FA61FA75E5B819D48">
    <w:name w:val="157628AF6B884D2FA61FA75E5B819D48"/>
    <w:rsid w:val="00BC01D8"/>
    <w:pPr>
      <w:spacing w:after="160" w:line="259" w:lineRule="auto"/>
    </w:pPr>
    <w:rPr>
      <w:kern w:val="2"/>
      <w14:ligatures w14:val="standardContextual"/>
    </w:rPr>
  </w:style>
  <w:style w:type="paragraph" w:customStyle="1" w:styleId="17C6FFF61167439DA3B6D552D7C55524">
    <w:name w:val="17C6FFF61167439DA3B6D552D7C55524"/>
    <w:rsid w:val="00BC01D8"/>
    <w:pPr>
      <w:spacing w:after="160" w:line="259" w:lineRule="auto"/>
    </w:pPr>
    <w:rPr>
      <w:kern w:val="2"/>
      <w14:ligatures w14:val="standardContextual"/>
    </w:rPr>
  </w:style>
  <w:style w:type="paragraph" w:customStyle="1" w:styleId="8E06C0D0292B4AF99BB15B187C60695A">
    <w:name w:val="8E06C0D0292B4AF99BB15B187C60695A"/>
    <w:rsid w:val="00BC01D8"/>
    <w:pPr>
      <w:spacing w:after="160" w:line="259" w:lineRule="auto"/>
    </w:pPr>
    <w:rPr>
      <w:kern w:val="2"/>
      <w14:ligatures w14:val="standardContextual"/>
    </w:rPr>
  </w:style>
  <w:style w:type="paragraph" w:customStyle="1" w:styleId="3F7B6B113D4D4561A5D5742897239DA1">
    <w:name w:val="3F7B6B113D4D4561A5D5742897239DA1"/>
    <w:rsid w:val="00BC01D8"/>
    <w:pPr>
      <w:spacing w:after="160" w:line="259" w:lineRule="auto"/>
    </w:pPr>
    <w:rPr>
      <w:kern w:val="2"/>
      <w14:ligatures w14:val="standardContextual"/>
    </w:rPr>
  </w:style>
  <w:style w:type="paragraph" w:customStyle="1" w:styleId="1A28BCB0D6184300ADD3D804DC296229">
    <w:name w:val="1A28BCB0D6184300ADD3D804DC296229"/>
    <w:rsid w:val="00BC01D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Template Major Assessment.dotx</Template>
  <TotalTime>2</TotalTime>
  <Pages>7</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uncleagt</dc:creator>
  <cp:keywords/>
  <cp:lastModifiedBy>Dennis Perkinson</cp:lastModifiedBy>
  <cp:revision>3</cp:revision>
  <cp:lastPrinted>2018-05-14T17:45:00Z</cp:lastPrinted>
  <dcterms:created xsi:type="dcterms:W3CDTF">2023-06-03T13:54:00Z</dcterms:created>
  <dcterms:modified xsi:type="dcterms:W3CDTF">2023-06-03T13:58:00Z</dcterms:modified>
</cp:coreProperties>
</file>